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855B5">
      <w:pPr>
        <w:jc w:val="center"/>
        <w:rPr>
          <w:rFonts w:hint="eastAsia" w:ascii="仿宋" w:hAnsi="仿宋" w:eastAsia="仿宋" w:cs="仿宋"/>
          <w:sz w:val="84"/>
          <w:szCs w:val="84"/>
          <w:highlight w:val="none"/>
        </w:rPr>
      </w:pPr>
    </w:p>
    <w:p w14:paraId="1715B536">
      <w:pPr>
        <w:jc w:val="center"/>
        <w:rPr>
          <w:rFonts w:hint="eastAsia" w:ascii="仿宋" w:hAnsi="仿宋" w:eastAsia="仿宋" w:cs="仿宋"/>
          <w:sz w:val="84"/>
          <w:szCs w:val="84"/>
          <w:highlight w:val="none"/>
        </w:rPr>
      </w:pPr>
    </w:p>
    <w:p w14:paraId="6E5E3DF4">
      <w:pPr>
        <w:jc w:val="center"/>
        <w:rPr>
          <w:rFonts w:hint="eastAsia" w:ascii="仿宋" w:hAnsi="仿宋" w:eastAsia="仿宋" w:cs="仿宋"/>
          <w:sz w:val="84"/>
          <w:szCs w:val="84"/>
          <w:highlight w:val="none"/>
        </w:rPr>
      </w:pPr>
      <w:r>
        <w:rPr>
          <w:rFonts w:hint="eastAsia" w:ascii="仿宋" w:hAnsi="仿宋" w:eastAsia="仿宋" w:cs="仿宋"/>
          <w:sz w:val="84"/>
          <w:szCs w:val="84"/>
          <w:highlight w:val="none"/>
        </w:rPr>
        <w:t>询价通知书</w:t>
      </w:r>
    </w:p>
    <w:p w14:paraId="1355C6E9">
      <w:pPr>
        <w:spacing w:line="480" w:lineRule="auto"/>
        <w:jc w:val="left"/>
        <w:rPr>
          <w:rFonts w:hint="eastAsia" w:ascii="仿宋" w:hAnsi="仿宋" w:eastAsia="仿宋" w:cs="仿宋"/>
          <w:sz w:val="30"/>
          <w:szCs w:val="30"/>
          <w:highlight w:val="none"/>
        </w:rPr>
      </w:pPr>
    </w:p>
    <w:p w14:paraId="7B65B429">
      <w:pPr>
        <w:spacing w:line="480" w:lineRule="auto"/>
        <w:jc w:val="left"/>
        <w:rPr>
          <w:rFonts w:hint="eastAsia" w:ascii="仿宋" w:hAnsi="仿宋" w:eastAsia="仿宋" w:cs="仿宋"/>
          <w:sz w:val="30"/>
          <w:szCs w:val="30"/>
          <w:highlight w:val="none"/>
        </w:rPr>
      </w:pPr>
    </w:p>
    <w:p w14:paraId="0671C533">
      <w:pPr>
        <w:spacing w:line="480" w:lineRule="auto"/>
        <w:jc w:val="left"/>
        <w:rPr>
          <w:rFonts w:hint="eastAsia" w:ascii="仿宋" w:hAnsi="仿宋" w:eastAsia="仿宋" w:cs="仿宋"/>
          <w:sz w:val="30"/>
          <w:szCs w:val="30"/>
          <w:highlight w:val="none"/>
        </w:rPr>
      </w:pPr>
    </w:p>
    <w:p w14:paraId="7A19FBA3">
      <w:pPr>
        <w:spacing w:line="480" w:lineRule="auto"/>
        <w:jc w:val="left"/>
        <w:rPr>
          <w:rFonts w:hint="eastAsia" w:ascii="仿宋" w:hAnsi="仿宋" w:eastAsia="仿宋" w:cs="仿宋"/>
          <w:sz w:val="30"/>
          <w:szCs w:val="30"/>
          <w:highlight w:val="none"/>
        </w:rPr>
      </w:pPr>
    </w:p>
    <w:p w14:paraId="657DBB8C">
      <w:pPr>
        <w:spacing w:line="480" w:lineRule="auto"/>
        <w:jc w:val="left"/>
        <w:rPr>
          <w:rFonts w:hint="eastAsia" w:ascii="仿宋" w:hAnsi="仿宋" w:eastAsia="仿宋" w:cs="仿宋"/>
          <w:sz w:val="30"/>
          <w:szCs w:val="30"/>
          <w:highlight w:val="none"/>
        </w:rPr>
      </w:pPr>
    </w:p>
    <w:p w14:paraId="7360093A">
      <w:pPr>
        <w:spacing w:line="480" w:lineRule="auto"/>
        <w:jc w:val="left"/>
        <w:rPr>
          <w:rFonts w:hint="eastAsia" w:ascii="仿宋" w:hAnsi="仿宋" w:eastAsia="仿宋" w:cs="仿宋"/>
          <w:sz w:val="30"/>
          <w:szCs w:val="30"/>
          <w:highlight w:val="none"/>
        </w:rPr>
      </w:pPr>
    </w:p>
    <w:p w14:paraId="2DA15788">
      <w:pPr>
        <w:spacing w:line="480" w:lineRule="auto"/>
        <w:jc w:val="left"/>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项目名称：吉安职业技术学院计算机网络实训室设备采购项目</w:t>
      </w:r>
    </w:p>
    <w:p w14:paraId="498A638A">
      <w:pPr>
        <w:spacing w:line="480" w:lineRule="auto"/>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项目编号：赣企恒招〔2026〕-12号</w:t>
      </w:r>
    </w:p>
    <w:p w14:paraId="5EF90D45">
      <w:pPr>
        <w:spacing w:line="480" w:lineRule="auto"/>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采购单位：吉安职业技术学院</w:t>
      </w:r>
    </w:p>
    <w:p w14:paraId="748BDFA2">
      <w:pPr>
        <w:spacing w:line="480" w:lineRule="auto"/>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采购代理机构：江西企恒企业管理有限公司</w:t>
      </w:r>
    </w:p>
    <w:p w14:paraId="71284BB3">
      <w:pPr>
        <w:rPr>
          <w:rFonts w:hint="eastAsia" w:ascii="仿宋" w:hAnsi="仿宋" w:eastAsia="仿宋" w:cs="仿宋"/>
          <w:highlight w:val="none"/>
        </w:rPr>
      </w:pPr>
      <w:r>
        <w:rPr>
          <w:rFonts w:hint="eastAsia" w:ascii="仿宋" w:hAnsi="仿宋" w:eastAsia="仿宋" w:cs="仿宋"/>
          <w:b/>
          <w:bCs/>
          <w:sz w:val="30"/>
          <w:szCs w:val="30"/>
          <w:highlight w:val="none"/>
        </w:rPr>
        <w:br w:type="page"/>
      </w:r>
      <w:r>
        <w:rPr>
          <w:rFonts w:hint="eastAsia" w:ascii="仿宋" w:hAnsi="仿宋" w:eastAsia="仿宋" w:cs="仿宋"/>
          <w:sz w:val="52"/>
          <w:szCs w:val="52"/>
          <w:highlight w:val="none"/>
        </w:rPr>
        <w:fldChar w:fldCharType="begin"/>
      </w:r>
      <w:r>
        <w:rPr>
          <w:rFonts w:hint="eastAsia" w:ascii="仿宋" w:hAnsi="仿宋" w:eastAsia="仿宋" w:cs="仿宋"/>
          <w:sz w:val="52"/>
          <w:szCs w:val="52"/>
          <w:highlight w:val="none"/>
        </w:rPr>
        <w:instrText xml:space="preserve"> TOC \* MERGEFORMAT </w:instrText>
      </w:r>
      <w:r>
        <w:rPr>
          <w:rFonts w:hint="eastAsia" w:ascii="仿宋" w:hAnsi="仿宋" w:eastAsia="仿宋" w:cs="仿宋"/>
          <w:sz w:val="52"/>
          <w:szCs w:val="52"/>
          <w:highlight w:val="none"/>
        </w:rPr>
        <w:fldChar w:fldCharType="separate"/>
      </w:r>
    </w:p>
    <w:p w14:paraId="0AA375C0">
      <w:pPr>
        <w:rPr>
          <w:rFonts w:hint="eastAsia" w:ascii="仿宋" w:hAnsi="仿宋" w:eastAsia="仿宋" w:cs="仿宋"/>
          <w:highlight w:val="none"/>
        </w:rPr>
      </w:pPr>
      <w:r>
        <w:rPr>
          <w:rFonts w:hint="eastAsia" w:ascii="仿宋" w:hAnsi="仿宋" w:eastAsia="仿宋" w:cs="仿宋"/>
          <w:highlight w:val="none"/>
        </w:rPr>
        <w:fldChar w:fldCharType="end"/>
      </w:r>
    </w:p>
    <w:sdt>
      <w:sdtPr>
        <w:rPr>
          <w:rFonts w:hint="eastAsia" w:ascii="仿宋" w:hAnsi="仿宋" w:eastAsia="仿宋" w:cs="仿宋"/>
          <w:highlight w:val="none"/>
        </w:rPr>
        <w:id w:val="147457270"/>
        <w15:color w:val="DBDBDB"/>
        <w:docPartObj>
          <w:docPartGallery w:val="Table of Contents"/>
          <w:docPartUnique/>
        </w:docPartObj>
      </w:sdtPr>
      <w:sdtEndPr>
        <w:rPr>
          <w:rFonts w:hint="eastAsia" w:ascii="仿宋" w:hAnsi="仿宋" w:eastAsia="仿宋" w:cs="仿宋"/>
          <w:highlight w:val="none"/>
        </w:rPr>
      </w:sdtEndPr>
      <w:sdtContent>
        <w:p w14:paraId="6637BA79">
          <w:pPr>
            <w:jc w:val="center"/>
            <w:rPr>
              <w:rFonts w:hint="eastAsia" w:ascii="仿宋" w:hAnsi="仿宋" w:eastAsia="仿宋" w:cs="仿宋"/>
              <w:highlight w:val="none"/>
            </w:rPr>
          </w:pPr>
          <w:r>
            <w:rPr>
              <w:rFonts w:hint="eastAsia" w:ascii="仿宋" w:hAnsi="仿宋" w:eastAsia="仿宋" w:cs="仿宋"/>
              <w:highlight w:val="none"/>
            </w:rPr>
            <w:t>目录</w:t>
          </w:r>
        </w:p>
        <w:p w14:paraId="527B922B">
          <w:pPr>
            <w:pStyle w:val="13"/>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TOC \o "1-3" \h \u </w:instrText>
          </w:r>
          <w:r>
            <w:rPr>
              <w:rFonts w:hint="eastAsia" w:ascii="仿宋" w:hAnsi="仿宋" w:eastAsia="仿宋" w:cs="仿宋"/>
              <w:highlight w:val="none"/>
            </w:rPr>
            <w:fldChar w:fldCharType="separate"/>
          </w: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_Toc12614 </w:instrText>
          </w:r>
          <w:r>
            <w:rPr>
              <w:rFonts w:hint="eastAsia" w:ascii="仿宋" w:hAnsi="仿宋" w:eastAsia="仿宋" w:cs="仿宋"/>
              <w:highlight w:val="none"/>
            </w:rPr>
            <w:fldChar w:fldCharType="separate"/>
          </w:r>
          <w:r>
            <w:rPr>
              <w:rFonts w:hint="eastAsia" w:ascii="仿宋" w:hAnsi="仿宋" w:eastAsia="仿宋" w:cs="仿宋"/>
              <w:szCs w:val="32"/>
              <w:highlight w:val="none"/>
            </w:rPr>
            <w:t>第一章、询价邀请</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_Toc12614 \h </w:instrText>
          </w:r>
          <w:r>
            <w:rPr>
              <w:rFonts w:hint="eastAsia" w:ascii="仿宋" w:hAnsi="仿宋" w:eastAsia="仿宋" w:cs="仿宋"/>
              <w:highlight w:val="none"/>
            </w:rPr>
            <w:fldChar w:fldCharType="separate"/>
          </w:r>
          <w:r>
            <w:rPr>
              <w:rFonts w:hint="eastAsia" w:ascii="仿宋" w:hAnsi="仿宋" w:eastAsia="仿宋" w:cs="仿宋"/>
              <w:highlight w:val="none"/>
            </w:rPr>
            <w:t>1</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574935F6">
          <w:pPr>
            <w:pStyle w:val="13"/>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_Toc15147 </w:instrText>
          </w:r>
          <w:r>
            <w:rPr>
              <w:rFonts w:hint="eastAsia" w:ascii="仿宋" w:hAnsi="仿宋" w:eastAsia="仿宋" w:cs="仿宋"/>
              <w:highlight w:val="none"/>
            </w:rPr>
            <w:fldChar w:fldCharType="separate"/>
          </w:r>
          <w:r>
            <w:rPr>
              <w:rFonts w:hint="eastAsia" w:ascii="仿宋" w:hAnsi="仿宋" w:eastAsia="仿宋" w:cs="仿宋"/>
              <w:szCs w:val="32"/>
              <w:highlight w:val="none"/>
            </w:rPr>
            <w:t>第二章、供应商须知</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_Toc15147 \h </w:instrText>
          </w:r>
          <w:r>
            <w:rPr>
              <w:rFonts w:hint="eastAsia" w:ascii="仿宋" w:hAnsi="仿宋" w:eastAsia="仿宋" w:cs="仿宋"/>
              <w:highlight w:val="none"/>
            </w:rPr>
            <w:fldChar w:fldCharType="separate"/>
          </w:r>
          <w:r>
            <w:rPr>
              <w:rFonts w:hint="eastAsia" w:ascii="仿宋" w:hAnsi="仿宋" w:eastAsia="仿宋" w:cs="仿宋"/>
              <w:highlight w:val="none"/>
            </w:rPr>
            <w:t>4</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35B071E7">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_Toc23364 </w:instrText>
          </w:r>
          <w:r>
            <w:rPr>
              <w:rFonts w:hint="eastAsia" w:ascii="仿宋" w:hAnsi="仿宋" w:eastAsia="仿宋" w:cs="仿宋"/>
              <w:highlight w:val="none"/>
            </w:rPr>
            <w:fldChar w:fldCharType="separate"/>
          </w:r>
          <w:r>
            <w:rPr>
              <w:rFonts w:hint="eastAsia" w:ascii="仿宋" w:hAnsi="仿宋" w:eastAsia="仿宋" w:cs="仿宋"/>
              <w:szCs w:val="28"/>
              <w:highlight w:val="none"/>
            </w:rPr>
            <w:t>一、供应商须知前附表</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_Toc23364 \h </w:instrText>
          </w:r>
          <w:r>
            <w:rPr>
              <w:rFonts w:hint="eastAsia" w:ascii="仿宋" w:hAnsi="仿宋" w:eastAsia="仿宋" w:cs="仿宋"/>
              <w:highlight w:val="none"/>
            </w:rPr>
            <w:fldChar w:fldCharType="separate"/>
          </w:r>
          <w:r>
            <w:rPr>
              <w:rFonts w:hint="eastAsia" w:ascii="仿宋" w:hAnsi="仿宋" w:eastAsia="仿宋" w:cs="仿宋"/>
              <w:highlight w:val="none"/>
            </w:rPr>
            <w:t>4</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4DF726B0">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_Toc269 </w:instrText>
          </w:r>
          <w:r>
            <w:rPr>
              <w:rFonts w:hint="eastAsia" w:ascii="仿宋" w:hAnsi="仿宋" w:eastAsia="仿宋" w:cs="仿宋"/>
              <w:highlight w:val="none"/>
            </w:rPr>
            <w:fldChar w:fldCharType="separate"/>
          </w:r>
          <w:r>
            <w:rPr>
              <w:rFonts w:hint="eastAsia" w:ascii="仿宋" w:hAnsi="仿宋" w:eastAsia="仿宋" w:cs="仿宋"/>
              <w:szCs w:val="28"/>
              <w:highlight w:val="none"/>
            </w:rPr>
            <w:t>二、说明</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_Toc269 \h </w:instrText>
          </w:r>
          <w:r>
            <w:rPr>
              <w:rFonts w:hint="eastAsia" w:ascii="仿宋" w:hAnsi="仿宋" w:eastAsia="仿宋" w:cs="仿宋"/>
              <w:highlight w:val="none"/>
            </w:rPr>
            <w:fldChar w:fldCharType="separate"/>
          </w:r>
          <w:r>
            <w:rPr>
              <w:rFonts w:hint="eastAsia" w:ascii="仿宋" w:hAnsi="仿宋" w:eastAsia="仿宋" w:cs="仿宋"/>
              <w:highlight w:val="none"/>
            </w:rPr>
            <w:t>6</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683AF56B">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_Toc32548 </w:instrText>
          </w:r>
          <w:r>
            <w:rPr>
              <w:rFonts w:hint="eastAsia" w:ascii="仿宋" w:hAnsi="仿宋" w:eastAsia="仿宋" w:cs="仿宋"/>
              <w:highlight w:val="none"/>
            </w:rPr>
            <w:fldChar w:fldCharType="separate"/>
          </w:r>
          <w:r>
            <w:rPr>
              <w:rFonts w:hint="eastAsia" w:ascii="仿宋" w:hAnsi="仿宋" w:eastAsia="仿宋" w:cs="仿宋"/>
              <w:szCs w:val="28"/>
              <w:highlight w:val="none"/>
            </w:rPr>
            <w:t>三、询价通知书</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_Toc32548 \h </w:instrText>
          </w:r>
          <w:r>
            <w:rPr>
              <w:rFonts w:hint="eastAsia" w:ascii="仿宋" w:hAnsi="仿宋" w:eastAsia="仿宋" w:cs="仿宋"/>
              <w:highlight w:val="none"/>
            </w:rPr>
            <w:fldChar w:fldCharType="separate"/>
          </w:r>
          <w:r>
            <w:rPr>
              <w:rFonts w:hint="eastAsia" w:ascii="仿宋" w:hAnsi="仿宋" w:eastAsia="仿宋" w:cs="仿宋"/>
              <w:highlight w:val="none"/>
            </w:rPr>
            <w:t>7</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247D1BD3">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_Toc29048 </w:instrText>
          </w:r>
          <w:r>
            <w:rPr>
              <w:rFonts w:hint="eastAsia" w:ascii="仿宋" w:hAnsi="仿宋" w:eastAsia="仿宋" w:cs="仿宋"/>
              <w:highlight w:val="none"/>
            </w:rPr>
            <w:fldChar w:fldCharType="separate"/>
          </w:r>
          <w:r>
            <w:rPr>
              <w:rFonts w:hint="eastAsia" w:ascii="仿宋" w:hAnsi="仿宋" w:eastAsia="仿宋" w:cs="仿宋"/>
              <w:szCs w:val="28"/>
              <w:highlight w:val="none"/>
            </w:rPr>
            <w:t>四、响应文件的编制</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_Toc29048 \h </w:instrText>
          </w:r>
          <w:r>
            <w:rPr>
              <w:rFonts w:hint="eastAsia" w:ascii="仿宋" w:hAnsi="仿宋" w:eastAsia="仿宋" w:cs="仿宋"/>
              <w:highlight w:val="none"/>
            </w:rPr>
            <w:fldChar w:fldCharType="separate"/>
          </w:r>
          <w:r>
            <w:rPr>
              <w:rFonts w:hint="eastAsia" w:ascii="仿宋" w:hAnsi="仿宋" w:eastAsia="仿宋" w:cs="仿宋"/>
              <w:highlight w:val="none"/>
            </w:rPr>
            <w:t>8</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69CD3B47">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_Toc25567 </w:instrText>
          </w:r>
          <w:r>
            <w:rPr>
              <w:rFonts w:hint="eastAsia" w:ascii="仿宋" w:hAnsi="仿宋" w:eastAsia="仿宋" w:cs="仿宋"/>
              <w:highlight w:val="none"/>
            </w:rPr>
            <w:fldChar w:fldCharType="separate"/>
          </w:r>
          <w:r>
            <w:rPr>
              <w:rFonts w:hint="eastAsia" w:ascii="仿宋" w:hAnsi="仿宋" w:eastAsia="仿宋" w:cs="仿宋"/>
              <w:szCs w:val="28"/>
              <w:highlight w:val="none"/>
            </w:rPr>
            <w:t>五、响应文件的递交</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_Toc25567 \h </w:instrText>
          </w:r>
          <w:r>
            <w:rPr>
              <w:rFonts w:hint="eastAsia" w:ascii="仿宋" w:hAnsi="仿宋" w:eastAsia="仿宋" w:cs="仿宋"/>
              <w:highlight w:val="none"/>
            </w:rPr>
            <w:fldChar w:fldCharType="separate"/>
          </w:r>
          <w:r>
            <w:rPr>
              <w:rFonts w:hint="eastAsia" w:ascii="仿宋" w:hAnsi="仿宋" w:eastAsia="仿宋" w:cs="仿宋"/>
              <w:highlight w:val="none"/>
            </w:rPr>
            <w:t>15</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5024B645">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_Toc17142 </w:instrText>
          </w:r>
          <w:r>
            <w:rPr>
              <w:rFonts w:hint="eastAsia" w:ascii="仿宋" w:hAnsi="仿宋" w:eastAsia="仿宋" w:cs="仿宋"/>
              <w:highlight w:val="none"/>
            </w:rPr>
            <w:fldChar w:fldCharType="separate"/>
          </w:r>
          <w:r>
            <w:rPr>
              <w:rFonts w:hint="eastAsia" w:ascii="仿宋" w:hAnsi="仿宋" w:eastAsia="仿宋" w:cs="仿宋"/>
              <w:szCs w:val="28"/>
              <w:highlight w:val="none"/>
            </w:rPr>
            <w:t>六、询价与评审</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_Toc17142 \h </w:instrText>
          </w:r>
          <w:r>
            <w:rPr>
              <w:rFonts w:hint="eastAsia" w:ascii="仿宋" w:hAnsi="仿宋" w:eastAsia="仿宋" w:cs="仿宋"/>
              <w:highlight w:val="none"/>
            </w:rPr>
            <w:fldChar w:fldCharType="separate"/>
          </w:r>
          <w:r>
            <w:rPr>
              <w:rFonts w:hint="eastAsia" w:ascii="仿宋" w:hAnsi="仿宋" w:eastAsia="仿宋" w:cs="仿宋"/>
              <w:highlight w:val="none"/>
            </w:rPr>
            <w:t>16</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097AF9C2">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_Toc2945 </w:instrText>
          </w:r>
          <w:r>
            <w:rPr>
              <w:rFonts w:hint="eastAsia" w:ascii="仿宋" w:hAnsi="仿宋" w:eastAsia="仿宋" w:cs="仿宋"/>
              <w:highlight w:val="none"/>
            </w:rPr>
            <w:fldChar w:fldCharType="separate"/>
          </w:r>
          <w:r>
            <w:rPr>
              <w:rFonts w:hint="eastAsia" w:ascii="仿宋" w:hAnsi="仿宋" w:eastAsia="仿宋" w:cs="仿宋"/>
              <w:szCs w:val="28"/>
              <w:highlight w:val="none"/>
            </w:rPr>
            <w:t>七、推荐成交候选供应商、确定成交供应商</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_Toc2945 \h </w:instrText>
          </w:r>
          <w:r>
            <w:rPr>
              <w:rFonts w:hint="eastAsia" w:ascii="仿宋" w:hAnsi="仿宋" w:eastAsia="仿宋" w:cs="仿宋"/>
              <w:highlight w:val="none"/>
            </w:rPr>
            <w:fldChar w:fldCharType="separate"/>
          </w:r>
          <w:r>
            <w:rPr>
              <w:rFonts w:hint="eastAsia" w:ascii="仿宋" w:hAnsi="仿宋" w:eastAsia="仿宋" w:cs="仿宋"/>
              <w:highlight w:val="none"/>
            </w:rPr>
            <w:t>19</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3CA5EF75">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_Toc9823 </w:instrText>
          </w:r>
          <w:r>
            <w:rPr>
              <w:rFonts w:hint="eastAsia" w:ascii="仿宋" w:hAnsi="仿宋" w:eastAsia="仿宋" w:cs="仿宋"/>
              <w:highlight w:val="none"/>
            </w:rPr>
            <w:fldChar w:fldCharType="separate"/>
          </w:r>
          <w:r>
            <w:rPr>
              <w:rFonts w:hint="eastAsia" w:ascii="仿宋" w:hAnsi="仿宋" w:eastAsia="仿宋" w:cs="仿宋"/>
              <w:szCs w:val="28"/>
              <w:highlight w:val="none"/>
            </w:rPr>
            <w:t>八、评审结果公示、质疑</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_Toc9823 \h </w:instrText>
          </w:r>
          <w:r>
            <w:rPr>
              <w:rFonts w:hint="eastAsia" w:ascii="仿宋" w:hAnsi="仿宋" w:eastAsia="仿宋" w:cs="仿宋"/>
              <w:highlight w:val="none"/>
            </w:rPr>
            <w:fldChar w:fldCharType="separate"/>
          </w:r>
          <w:r>
            <w:rPr>
              <w:rFonts w:hint="eastAsia" w:ascii="仿宋" w:hAnsi="仿宋" w:eastAsia="仿宋" w:cs="仿宋"/>
              <w:highlight w:val="none"/>
            </w:rPr>
            <w:t>20</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78E34D50">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_Toc18043 </w:instrText>
          </w:r>
          <w:r>
            <w:rPr>
              <w:rFonts w:hint="eastAsia" w:ascii="仿宋" w:hAnsi="仿宋" w:eastAsia="仿宋" w:cs="仿宋"/>
              <w:highlight w:val="none"/>
            </w:rPr>
            <w:fldChar w:fldCharType="separate"/>
          </w:r>
          <w:r>
            <w:rPr>
              <w:rFonts w:hint="eastAsia" w:ascii="仿宋" w:hAnsi="仿宋" w:eastAsia="仿宋" w:cs="仿宋"/>
              <w:szCs w:val="28"/>
              <w:highlight w:val="none"/>
            </w:rPr>
            <w:t>九、成交通知书、签订合同</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_Toc18043 \h </w:instrText>
          </w:r>
          <w:r>
            <w:rPr>
              <w:rFonts w:hint="eastAsia" w:ascii="仿宋" w:hAnsi="仿宋" w:eastAsia="仿宋" w:cs="仿宋"/>
              <w:highlight w:val="none"/>
            </w:rPr>
            <w:fldChar w:fldCharType="separate"/>
          </w:r>
          <w:r>
            <w:rPr>
              <w:rFonts w:hint="eastAsia" w:ascii="仿宋" w:hAnsi="仿宋" w:eastAsia="仿宋" w:cs="仿宋"/>
              <w:highlight w:val="none"/>
            </w:rPr>
            <w:t>21</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080FA337">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_Toc26994 </w:instrText>
          </w:r>
          <w:r>
            <w:rPr>
              <w:rFonts w:hint="eastAsia" w:ascii="仿宋" w:hAnsi="仿宋" w:eastAsia="仿宋" w:cs="仿宋"/>
              <w:highlight w:val="none"/>
            </w:rPr>
            <w:fldChar w:fldCharType="separate"/>
          </w:r>
          <w:r>
            <w:rPr>
              <w:rFonts w:hint="eastAsia" w:ascii="仿宋" w:hAnsi="仿宋" w:eastAsia="仿宋" w:cs="仿宋"/>
              <w:szCs w:val="28"/>
              <w:highlight w:val="none"/>
            </w:rPr>
            <w:t>十、 采购代理服务费、履约保证金</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_Toc26994 \h </w:instrText>
          </w:r>
          <w:r>
            <w:rPr>
              <w:rFonts w:hint="eastAsia" w:ascii="仿宋" w:hAnsi="仿宋" w:eastAsia="仿宋" w:cs="仿宋"/>
              <w:highlight w:val="none"/>
            </w:rPr>
            <w:fldChar w:fldCharType="separate"/>
          </w:r>
          <w:r>
            <w:rPr>
              <w:rFonts w:hint="eastAsia" w:ascii="仿宋" w:hAnsi="仿宋" w:eastAsia="仿宋" w:cs="仿宋"/>
              <w:highlight w:val="none"/>
            </w:rPr>
            <w:t>21</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14F5539B">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_Toc13911 </w:instrText>
          </w:r>
          <w:r>
            <w:rPr>
              <w:rFonts w:hint="eastAsia" w:ascii="仿宋" w:hAnsi="仿宋" w:eastAsia="仿宋" w:cs="仿宋"/>
              <w:highlight w:val="none"/>
            </w:rPr>
            <w:fldChar w:fldCharType="separate"/>
          </w:r>
          <w:r>
            <w:rPr>
              <w:rFonts w:hint="eastAsia" w:ascii="仿宋" w:hAnsi="仿宋" w:eastAsia="仿宋" w:cs="仿宋"/>
              <w:szCs w:val="28"/>
              <w:highlight w:val="none"/>
            </w:rPr>
            <w:t>十一、附则</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_Toc13911 \h </w:instrText>
          </w:r>
          <w:r>
            <w:rPr>
              <w:rFonts w:hint="eastAsia" w:ascii="仿宋" w:hAnsi="仿宋" w:eastAsia="仿宋" w:cs="仿宋"/>
              <w:highlight w:val="none"/>
            </w:rPr>
            <w:fldChar w:fldCharType="separate"/>
          </w:r>
          <w:r>
            <w:rPr>
              <w:rFonts w:hint="eastAsia" w:ascii="仿宋" w:hAnsi="仿宋" w:eastAsia="仿宋" w:cs="仿宋"/>
              <w:highlight w:val="none"/>
            </w:rPr>
            <w:t>22</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71D7157E">
          <w:pPr>
            <w:pStyle w:val="13"/>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_Toc12087 </w:instrText>
          </w:r>
          <w:r>
            <w:rPr>
              <w:rFonts w:hint="eastAsia" w:ascii="仿宋" w:hAnsi="仿宋" w:eastAsia="仿宋" w:cs="仿宋"/>
              <w:highlight w:val="none"/>
            </w:rPr>
            <w:fldChar w:fldCharType="separate"/>
          </w:r>
          <w:r>
            <w:rPr>
              <w:rFonts w:hint="eastAsia" w:ascii="仿宋" w:hAnsi="仿宋" w:eastAsia="仿宋" w:cs="仿宋"/>
              <w:szCs w:val="32"/>
              <w:highlight w:val="none"/>
            </w:rPr>
            <w:t>第三章、拟签订的合同文本</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_Toc12087 \h </w:instrText>
          </w:r>
          <w:r>
            <w:rPr>
              <w:rFonts w:hint="eastAsia" w:ascii="仿宋" w:hAnsi="仿宋" w:eastAsia="仿宋" w:cs="仿宋"/>
              <w:highlight w:val="none"/>
            </w:rPr>
            <w:fldChar w:fldCharType="separate"/>
          </w:r>
          <w:r>
            <w:rPr>
              <w:rFonts w:hint="eastAsia" w:ascii="仿宋" w:hAnsi="仿宋" w:eastAsia="仿宋" w:cs="仿宋"/>
              <w:highlight w:val="none"/>
            </w:rPr>
            <w:t>23</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5D1E0017">
          <w:pPr>
            <w:pStyle w:val="13"/>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_Toc25375 </w:instrText>
          </w:r>
          <w:r>
            <w:rPr>
              <w:rFonts w:hint="eastAsia" w:ascii="仿宋" w:hAnsi="仿宋" w:eastAsia="仿宋" w:cs="仿宋"/>
              <w:highlight w:val="none"/>
            </w:rPr>
            <w:fldChar w:fldCharType="separate"/>
          </w:r>
          <w:r>
            <w:rPr>
              <w:rFonts w:hint="eastAsia" w:ascii="仿宋" w:hAnsi="仿宋" w:eastAsia="仿宋" w:cs="仿宋"/>
              <w:szCs w:val="32"/>
              <w:highlight w:val="none"/>
            </w:rPr>
            <w:t>第四章、附件（响应文件参考格式）</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_Toc25375 \h </w:instrText>
          </w:r>
          <w:r>
            <w:rPr>
              <w:rFonts w:hint="eastAsia" w:ascii="仿宋" w:hAnsi="仿宋" w:eastAsia="仿宋" w:cs="仿宋"/>
              <w:highlight w:val="none"/>
            </w:rPr>
            <w:fldChar w:fldCharType="separate"/>
          </w:r>
          <w:r>
            <w:rPr>
              <w:rFonts w:hint="eastAsia" w:ascii="仿宋" w:hAnsi="仿宋" w:eastAsia="仿宋" w:cs="仿宋"/>
              <w:highlight w:val="none"/>
            </w:rPr>
            <w:t>27</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3BA8A43B">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_Toc29761 </w:instrText>
          </w:r>
          <w:r>
            <w:rPr>
              <w:rFonts w:hint="eastAsia" w:ascii="仿宋" w:hAnsi="仿宋" w:eastAsia="仿宋" w:cs="仿宋"/>
              <w:highlight w:val="none"/>
            </w:rPr>
            <w:fldChar w:fldCharType="separate"/>
          </w:r>
          <w:r>
            <w:rPr>
              <w:rFonts w:hint="eastAsia" w:ascii="仿宋" w:hAnsi="仿宋" w:eastAsia="仿宋" w:cs="仿宋"/>
              <w:szCs w:val="28"/>
              <w:highlight w:val="none"/>
            </w:rPr>
            <w:t>1、询价响应书</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_Toc29761 \h </w:instrText>
          </w:r>
          <w:r>
            <w:rPr>
              <w:rFonts w:hint="eastAsia" w:ascii="仿宋" w:hAnsi="仿宋" w:eastAsia="仿宋" w:cs="仿宋"/>
              <w:highlight w:val="none"/>
            </w:rPr>
            <w:fldChar w:fldCharType="separate"/>
          </w:r>
          <w:r>
            <w:rPr>
              <w:rFonts w:hint="eastAsia" w:ascii="仿宋" w:hAnsi="仿宋" w:eastAsia="仿宋" w:cs="仿宋"/>
              <w:highlight w:val="none"/>
            </w:rPr>
            <w:t>28</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1F55DF34">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_Toc24827 </w:instrText>
          </w:r>
          <w:r>
            <w:rPr>
              <w:rFonts w:hint="eastAsia" w:ascii="仿宋" w:hAnsi="仿宋" w:eastAsia="仿宋" w:cs="仿宋"/>
              <w:highlight w:val="none"/>
            </w:rPr>
            <w:fldChar w:fldCharType="separate"/>
          </w:r>
          <w:r>
            <w:rPr>
              <w:rFonts w:hint="eastAsia" w:ascii="仿宋" w:hAnsi="仿宋" w:eastAsia="仿宋" w:cs="仿宋"/>
              <w:szCs w:val="28"/>
              <w:highlight w:val="none"/>
            </w:rPr>
            <w:t>2、报 价 表</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_Toc24827 \h </w:instrText>
          </w:r>
          <w:r>
            <w:rPr>
              <w:rFonts w:hint="eastAsia" w:ascii="仿宋" w:hAnsi="仿宋" w:eastAsia="仿宋" w:cs="仿宋"/>
              <w:highlight w:val="none"/>
            </w:rPr>
            <w:fldChar w:fldCharType="separate"/>
          </w:r>
          <w:r>
            <w:rPr>
              <w:rFonts w:hint="eastAsia" w:ascii="仿宋" w:hAnsi="仿宋" w:eastAsia="仿宋" w:cs="仿宋"/>
              <w:highlight w:val="none"/>
            </w:rPr>
            <w:t>29</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18027965">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_Toc1623 </w:instrText>
          </w:r>
          <w:r>
            <w:rPr>
              <w:rFonts w:hint="eastAsia" w:ascii="仿宋" w:hAnsi="仿宋" w:eastAsia="仿宋" w:cs="仿宋"/>
              <w:highlight w:val="none"/>
            </w:rPr>
            <w:fldChar w:fldCharType="separate"/>
          </w:r>
          <w:r>
            <w:rPr>
              <w:rFonts w:hint="eastAsia" w:ascii="仿宋" w:hAnsi="仿宋" w:eastAsia="仿宋" w:cs="仿宋"/>
              <w:szCs w:val="28"/>
              <w:highlight w:val="none"/>
            </w:rPr>
            <w:t>3、分项报价表</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_Toc1623 \h </w:instrText>
          </w:r>
          <w:r>
            <w:rPr>
              <w:rFonts w:hint="eastAsia" w:ascii="仿宋" w:hAnsi="仿宋" w:eastAsia="仿宋" w:cs="仿宋"/>
              <w:highlight w:val="none"/>
            </w:rPr>
            <w:fldChar w:fldCharType="separate"/>
          </w:r>
          <w:r>
            <w:rPr>
              <w:rFonts w:hint="eastAsia" w:ascii="仿宋" w:hAnsi="仿宋" w:eastAsia="仿宋" w:cs="仿宋"/>
              <w:highlight w:val="none"/>
            </w:rPr>
            <w:t>30</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7584A3DB">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_Toc12248 </w:instrText>
          </w:r>
          <w:r>
            <w:rPr>
              <w:rFonts w:hint="eastAsia" w:ascii="仿宋" w:hAnsi="仿宋" w:eastAsia="仿宋" w:cs="仿宋"/>
              <w:highlight w:val="none"/>
            </w:rPr>
            <w:fldChar w:fldCharType="separate"/>
          </w:r>
          <w:r>
            <w:rPr>
              <w:rFonts w:hint="eastAsia" w:ascii="仿宋" w:hAnsi="仿宋" w:eastAsia="仿宋" w:cs="仿宋"/>
              <w:szCs w:val="28"/>
              <w:highlight w:val="none"/>
            </w:rPr>
            <w:t>4、</w:t>
          </w:r>
          <w:r>
            <w:rPr>
              <w:rFonts w:hint="eastAsia" w:ascii="仿宋" w:hAnsi="仿宋" w:eastAsia="仿宋" w:cs="仿宋"/>
              <w:szCs w:val="28"/>
              <w:highlight w:val="none"/>
              <w:lang w:eastAsia="zh-CN"/>
            </w:rPr>
            <w:t>采购清单及技术需求响应承诺函</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_Toc12248 \h </w:instrText>
          </w:r>
          <w:r>
            <w:rPr>
              <w:rFonts w:hint="eastAsia" w:ascii="仿宋" w:hAnsi="仿宋" w:eastAsia="仿宋" w:cs="仿宋"/>
              <w:highlight w:val="none"/>
            </w:rPr>
            <w:fldChar w:fldCharType="separate"/>
          </w:r>
          <w:r>
            <w:rPr>
              <w:rFonts w:hint="eastAsia" w:ascii="仿宋" w:hAnsi="仿宋" w:eastAsia="仿宋" w:cs="仿宋"/>
              <w:highlight w:val="none"/>
            </w:rPr>
            <w:t>31</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019B4367">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_Toc4617 </w:instrText>
          </w:r>
          <w:r>
            <w:rPr>
              <w:rFonts w:hint="eastAsia" w:ascii="仿宋" w:hAnsi="仿宋" w:eastAsia="仿宋" w:cs="仿宋"/>
              <w:highlight w:val="none"/>
            </w:rPr>
            <w:fldChar w:fldCharType="separate"/>
          </w:r>
          <w:r>
            <w:rPr>
              <w:rFonts w:hint="eastAsia" w:ascii="仿宋" w:hAnsi="仿宋" w:eastAsia="仿宋" w:cs="仿宋"/>
              <w:szCs w:val="28"/>
              <w:highlight w:val="none"/>
            </w:rPr>
            <w:t>5、</w:t>
          </w:r>
          <w:r>
            <w:rPr>
              <w:rFonts w:hint="eastAsia" w:ascii="仿宋" w:hAnsi="仿宋" w:eastAsia="仿宋" w:cs="仿宋"/>
              <w:szCs w:val="28"/>
              <w:highlight w:val="none"/>
              <w:lang w:eastAsia="zh-CN"/>
            </w:rPr>
            <w:t>商务条款响应承诺函</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_Toc4617 \h </w:instrText>
          </w:r>
          <w:r>
            <w:rPr>
              <w:rFonts w:hint="eastAsia" w:ascii="仿宋" w:hAnsi="仿宋" w:eastAsia="仿宋" w:cs="仿宋"/>
              <w:highlight w:val="none"/>
            </w:rPr>
            <w:fldChar w:fldCharType="separate"/>
          </w:r>
          <w:r>
            <w:rPr>
              <w:rFonts w:hint="eastAsia" w:ascii="仿宋" w:hAnsi="仿宋" w:eastAsia="仿宋" w:cs="仿宋"/>
              <w:highlight w:val="none"/>
            </w:rPr>
            <w:t>41</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47A22022">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_Toc3339 </w:instrText>
          </w:r>
          <w:r>
            <w:rPr>
              <w:rFonts w:hint="eastAsia" w:ascii="仿宋" w:hAnsi="仿宋" w:eastAsia="仿宋" w:cs="仿宋"/>
              <w:highlight w:val="none"/>
            </w:rPr>
            <w:fldChar w:fldCharType="separate"/>
          </w:r>
          <w:r>
            <w:rPr>
              <w:rFonts w:hint="eastAsia" w:ascii="仿宋" w:hAnsi="仿宋" w:eastAsia="仿宋" w:cs="仿宋"/>
              <w:szCs w:val="28"/>
              <w:highlight w:val="none"/>
            </w:rPr>
            <w:t>6、其他资料</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_Toc3339 \h </w:instrText>
          </w:r>
          <w:r>
            <w:rPr>
              <w:rFonts w:hint="eastAsia" w:ascii="仿宋" w:hAnsi="仿宋" w:eastAsia="仿宋" w:cs="仿宋"/>
              <w:highlight w:val="none"/>
            </w:rPr>
            <w:fldChar w:fldCharType="separate"/>
          </w:r>
          <w:r>
            <w:rPr>
              <w:rFonts w:hint="eastAsia" w:ascii="仿宋" w:hAnsi="仿宋" w:eastAsia="仿宋" w:cs="仿宋"/>
              <w:highlight w:val="none"/>
            </w:rPr>
            <w:t>44</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4913B604">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_Toc15926 </w:instrText>
          </w:r>
          <w:r>
            <w:rPr>
              <w:rFonts w:hint="eastAsia" w:ascii="仿宋" w:hAnsi="仿宋" w:eastAsia="仿宋" w:cs="仿宋"/>
              <w:highlight w:val="none"/>
            </w:rPr>
            <w:fldChar w:fldCharType="separate"/>
          </w:r>
          <w:r>
            <w:rPr>
              <w:rFonts w:hint="eastAsia" w:ascii="仿宋" w:hAnsi="仿宋" w:eastAsia="仿宋" w:cs="仿宋"/>
              <w:szCs w:val="28"/>
              <w:highlight w:val="none"/>
            </w:rPr>
            <w:t>7、中小企业声明</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_Toc15926 \h </w:instrText>
          </w:r>
          <w:r>
            <w:rPr>
              <w:rFonts w:hint="eastAsia" w:ascii="仿宋" w:hAnsi="仿宋" w:eastAsia="仿宋" w:cs="仿宋"/>
              <w:highlight w:val="none"/>
            </w:rPr>
            <w:fldChar w:fldCharType="separate"/>
          </w:r>
          <w:r>
            <w:rPr>
              <w:rFonts w:hint="eastAsia" w:ascii="仿宋" w:hAnsi="仿宋" w:eastAsia="仿宋" w:cs="仿宋"/>
              <w:highlight w:val="none"/>
            </w:rPr>
            <w:t>47</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7BCEFCC4">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_Toc28497 </w:instrText>
          </w:r>
          <w:r>
            <w:rPr>
              <w:rFonts w:hint="eastAsia" w:ascii="仿宋" w:hAnsi="仿宋" w:eastAsia="仿宋" w:cs="仿宋"/>
              <w:highlight w:val="none"/>
            </w:rPr>
            <w:fldChar w:fldCharType="separate"/>
          </w:r>
          <w:r>
            <w:rPr>
              <w:rFonts w:hint="eastAsia" w:ascii="仿宋" w:hAnsi="仿宋" w:eastAsia="仿宋" w:cs="仿宋"/>
              <w:szCs w:val="28"/>
              <w:highlight w:val="none"/>
            </w:rPr>
            <w:t>8、省级以上监狱管理局、戒毒管理局（含新疆生产建设兵团）出具的属于监狱企业证明文件</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_Toc28497 \h </w:instrText>
          </w:r>
          <w:r>
            <w:rPr>
              <w:rFonts w:hint="eastAsia" w:ascii="仿宋" w:hAnsi="仿宋" w:eastAsia="仿宋" w:cs="仿宋"/>
              <w:highlight w:val="none"/>
            </w:rPr>
            <w:fldChar w:fldCharType="separate"/>
          </w:r>
          <w:r>
            <w:rPr>
              <w:rFonts w:hint="eastAsia" w:ascii="仿宋" w:hAnsi="仿宋" w:eastAsia="仿宋" w:cs="仿宋"/>
              <w:highlight w:val="none"/>
            </w:rPr>
            <w:t>52</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6C3F86E7">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_Toc19610 </w:instrText>
          </w:r>
          <w:r>
            <w:rPr>
              <w:rFonts w:hint="eastAsia" w:ascii="仿宋" w:hAnsi="仿宋" w:eastAsia="仿宋" w:cs="仿宋"/>
              <w:highlight w:val="none"/>
            </w:rPr>
            <w:fldChar w:fldCharType="separate"/>
          </w:r>
          <w:r>
            <w:rPr>
              <w:rFonts w:hint="eastAsia" w:ascii="仿宋" w:hAnsi="仿宋" w:eastAsia="仿宋" w:cs="仿宋"/>
              <w:szCs w:val="28"/>
              <w:highlight w:val="none"/>
            </w:rPr>
            <w:t>9、残疾人福利性单位声明函</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_Toc19610 \h </w:instrText>
          </w:r>
          <w:r>
            <w:rPr>
              <w:rFonts w:hint="eastAsia" w:ascii="仿宋" w:hAnsi="仿宋" w:eastAsia="仿宋" w:cs="仿宋"/>
              <w:highlight w:val="none"/>
            </w:rPr>
            <w:fldChar w:fldCharType="separate"/>
          </w:r>
          <w:r>
            <w:rPr>
              <w:rFonts w:hint="eastAsia" w:ascii="仿宋" w:hAnsi="仿宋" w:eastAsia="仿宋" w:cs="仿宋"/>
              <w:highlight w:val="none"/>
            </w:rPr>
            <w:t>53</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3C3CFA44">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_Toc26529 </w:instrText>
          </w:r>
          <w:r>
            <w:rPr>
              <w:rFonts w:hint="eastAsia" w:ascii="仿宋" w:hAnsi="仿宋" w:eastAsia="仿宋" w:cs="仿宋"/>
              <w:highlight w:val="none"/>
            </w:rPr>
            <w:fldChar w:fldCharType="separate"/>
          </w:r>
          <w:r>
            <w:rPr>
              <w:rFonts w:hint="eastAsia" w:ascii="仿宋" w:hAnsi="仿宋" w:eastAsia="仿宋" w:cs="仿宋"/>
              <w:szCs w:val="28"/>
              <w:highlight w:val="none"/>
            </w:rPr>
            <w:t>10-1、属于《节能产品政府采购品目清单》、《环境标志产品政府采购品目清单》中的产品，提供认证证书复印件或中国政府采购网网页截图</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_Toc26529 \h </w:instrText>
          </w:r>
          <w:r>
            <w:rPr>
              <w:rFonts w:hint="eastAsia" w:ascii="仿宋" w:hAnsi="仿宋" w:eastAsia="仿宋" w:cs="仿宋"/>
              <w:highlight w:val="none"/>
            </w:rPr>
            <w:fldChar w:fldCharType="separate"/>
          </w:r>
          <w:r>
            <w:rPr>
              <w:rFonts w:hint="eastAsia" w:ascii="仿宋" w:hAnsi="仿宋" w:eastAsia="仿宋" w:cs="仿宋"/>
              <w:highlight w:val="none"/>
            </w:rPr>
            <w:t>54</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094CAEF0">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_Toc12241 </w:instrText>
          </w:r>
          <w:r>
            <w:rPr>
              <w:rFonts w:hint="eastAsia" w:ascii="仿宋" w:hAnsi="仿宋" w:eastAsia="仿宋" w:cs="仿宋"/>
              <w:highlight w:val="none"/>
            </w:rPr>
            <w:fldChar w:fldCharType="separate"/>
          </w:r>
          <w:r>
            <w:rPr>
              <w:rFonts w:hint="eastAsia" w:ascii="仿宋" w:hAnsi="仿宋" w:eastAsia="仿宋" w:cs="仿宋"/>
              <w:szCs w:val="28"/>
              <w:highlight w:val="none"/>
            </w:rPr>
            <w:t>10-2、本国产品标准的声明函</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_Toc12241 \h </w:instrText>
          </w:r>
          <w:r>
            <w:rPr>
              <w:rFonts w:hint="eastAsia" w:ascii="仿宋" w:hAnsi="仿宋" w:eastAsia="仿宋" w:cs="仿宋"/>
              <w:highlight w:val="none"/>
            </w:rPr>
            <w:fldChar w:fldCharType="separate"/>
          </w:r>
          <w:r>
            <w:rPr>
              <w:rFonts w:hint="eastAsia" w:ascii="仿宋" w:hAnsi="仿宋" w:eastAsia="仿宋" w:cs="仿宋"/>
              <w:highlight w:val="none"/>
            </w:rPr>
            <w:t>59</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1BB2722E">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_Toc13732 </w:instrText>
          </w:r>
          <w:r>
            <w:rPr>
              <w:rFonts w:hint="eastAsia" w:ascii="仿宋" w:hAnsi="仿宋" w:eastAsia="仿宋" w:cs="仿宋"/>
              <w:highlight w:val="none"/>
            </w:rPr>
            <w:fldChar w:fldCharType="separate"/>
          </w:r>
          <w:r>
            <w:rPr>
              <w:rFonts w:hint="eastAsia" w:ascii="仿宋" w:hAnsi="仿宋" w:eastAsia="仿宋" w:cs="仿宋"/>
              <w:szCs w:val="28"/>
              <w:highlight w:val="none"/>
            </w:rPr>
            <w:t>10-3、关于符合本国产品标准的成本占比承诺函【如适用】</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_Toc13732 \h </w:instrText>
          </w:r>
          <w:r>
            <w:rPr>
              <w:rFonts w:hint="eastAsia" w:ascii="仿宋" w:hAnsi="仿宋" w:eastAsia="仿宋" w:cs="仿宋"/>
              <w:highlight w:val="none"/>
            </w:rPr>
            <w:fldChar w:fldCharType="separate"/>
          </w:r>
          <w:r>
            <w:rPr>
              <w:rFonts w:hint="eastAsia" w:ascii="仿宋" w:hAnsi="仿宋" w:eastAsia="仿宋" w:cs="仿宋"/>
              <w:highlight w:val="none"/>
            </w:rPr>
            <w:t>60</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136C614D">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_Toc19062 </w:instrText>
          </w:r>
          <w:r>
            <w:rPr>
              <w:rFonts w:hint="eastAsia" w:ascii="仿宋" w:hAnsi="仿宋" w:eastAsia="仿宋" w:cs="仿宋"/>
              <w:highlight w:val="none"/>
            </w:rPr>
            <w:fldChar w:fldCharType="separate"/>
          </w:r>
          <w:r>
            <w:rPr>
              <w:rFonts w:hint="eastAsia" w:ascii="仿宋" w:hAnsi="仿宋" w:eastAsia="仿宋" w:cs="仿宋"/>
              <w:szCs w:val="28"/>
              <w:highlight w:val="none"/>
            </w:rPr>
            <w:t>11、技术文件</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_Toc19062 \h </w:instrText>
          </w:r>
          <w:r>
            <w:rPr>
              <w:rFonts w:hint="eastAsia" w:ascii="仿宋" w:hAnsi="仿宋" w:eastAsia="仿宋" w:cs="仿宋"/>
              <w:highlight w:val="none"/>
            </w:rPr>
            <w:fldChar w:fldCharType="separate"/>
          </w:r>
          <w:r>
            <w:rPr>
              <w:rFonts w:hint="eastAsia" w:ascii="仿宋" w:hAnsi="仿宋" w:eastAsia="仿宋" w:cs="仿宋"/>
              <w:highlight w:val="none"/>
            </w:rPr>
            <w:t>61</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5B220F01">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_Toc5325 </w:instrText>
          </w:r>
          <w:r>
            <w:rPr>
              <w:rFonts w:hint="eastAsia" w:ascii="仿宋" w:hAnsi="仿宋" w:eastAsia="仿宋" w:cs="仿宋"/>
              <w:highlight w:val="none"/>
            </w:rPr>
            <w:fldChar w:fldCharType="separate"/>
          </w:r>
          <w:r>
            <w:rPr>
              <w:rFonts w:hint="eastAsia" w:ascii="仿宋" w:hAnsi="仿宋" w:eastAsia="仿宋" w:cs="仿宋"/>
              <w:szCs w:val="28"/>
              <w:highlight w:val="none"/>
            </w:rPr>
            <w:t>12、资格证明文件</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_Toc5325 \h </w:instrText>
          </w:r>
          <w:r>
            <w:rPr>
              <w:rFonts w:hint="eastAsia" w:ascii="仿宋" w:hAnsi="仿宋" w:eastAsia="仿宋" w:cs="仿宋"/>
              <w:highlight w:val="none"/>
            </w:rPr>
            <w:fldChar w:fldCharType="separate"/>
          </w:r>
          <w:r>
            <w:rPr>
              <w:rFonts w:hint="eastAsia" w:ascii="仿宋" w:hAnsi="仿宋" w:eastAsia="仿宋" w:cs="仿宋"/>
              <w:highlight w:val="none"/>
            </w:rPr>
            <w:t>62</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511CA5A5">
          <w:pPr>
            <w:pStyle w:val="13"/>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_Toc26701 </w:instrText>
          </w:r>
          <w:r>
            <w:rPr>
              <w:rFonts w:hint="eastAsia" w:ascii="仿宋" w:hAnsi="仿宋" w:eastAsia="仿宋" w:cs="仿宋"/>
              <w:highlight w:val="none"/>
            </w:rPr>
            <w:fldChar w:fldCharType="separate"/>
          </w:r>
          <w:r>
            <w:rPr>
              <w:rFonts w:hint="eastAsia" w:ascii="仿宋" w:hAnsi="仿宋" w:eastAsia="仿宋" w:cs="仿宋"/>
              <w:szCs w:val="32"/>
              <w:highlight w:val="none"/>
            </w:rPr>
            <w:t>第五章　采购需求一览表及采购要求</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_Toc26701 \h </w:instrText>
          </w:r>
          <w:r>
            <w:rPr>
              <w:rFonts w:hint="eastAsia" w:ascii="仿宋" w:hAnsi="仿宋" w:eastAsia="仿宋" w:cs="仿宋"/>
              <w:highlight w:val="none"/>
            </w:rPr>
            <w:fldChar w:fldCharType="separate"/>
          </w:r>
          <w:r>
            <w:rPr>
              <w:rFonts w:hint="eastAsia" w:ascii="仿宋" w:hAnsi="仿宋" w:eastAsia="仿宋" w:cs="仿宋"/>
              <w:highlight w:val="none"/>
            </w:rPr>
            <w:t>68</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510C389A">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_Toc12144 </w:instrText>
          </w:r>
          <w:r>
            <w:rPr>
              <w:rFonts w:hint="eastAsia" w:ascii="仿宋" w:hAnsi="仿宋" w:eastAsia="仿宋" w:cs="仿宋"/>
              <w:highlight w:val="none"/>
            </w:rPr>
            <w:fldChar w:fldCharType="separate"/>
          </w:r>
          <w:r>
            <w:rPr>
              <w:rFonts w:hint="eastAsia" w:ascii="仿宋" w:hAnsi="仿宋" w:eastAsia="仿宋" w:cs="仿宋"/>
              <w:szCs w:val="30"/>
              <w:highlight w:val="none"/>
            </w:rPr>
            <w:t>一、采购需求一览表</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_Toc12144 \h </w:instrText>
          </w:r>
          <w:r>
            <w:rPr>
              <w:rFonts w:hint="eastAsia" w:ascii="仿宋" w:hAnsi="仿宋" w:eastAsia="仿宋" w:cs="仿宋"/>
              <w:highlight w:val="none"/>
            </w:rPr>
            <w:fldChar w:fldCharType="separate"/>
          </w:r>
          <w:r>
            <w:rPr>
              <w:rFonts w:hint="eastAsia" w:ascii="仿宋" w:hAnsi="仿宋" w:eastAsia="仿宋" w:cs="仿宋"/>
              <w:highlight w:val="none"/>
            </w:rPr>
            <w:t>68</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258944A1">
          <w:pPr>
            <w:pStyle w:val="14"/>
            <w:tabs>
              <w:tab w:val="right" w:leader="dot" w:pos="8306"/>
            </w:tabs>
            <w:rPr>
              <w:rFonts w:hint="eastAsia" w:ascii="仿宋" w:hAnsi="仿宋" w:eastAsia="仿宋" w:cs="仿宋"/>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_Toc18833 </w:instrText>
          </w:r>
          <w:r>
            <w:rPr>
              <w:rFonts w:hint="eastAsia" w:ascii="仿宋" w:hAnsi="仿宋" w:eastAsia="仿宋" w:cs="仿宋"/>
              <w:highlight w:val="none"/>
            </w:rPr>
            <w:fldChar w:fldCharType="separate"/>
          </w:r>
          <w:r>
            <w:rPr>
              <w:rFonts w:hint="eastAsia" w:ascii="仿宋" w:hAnsi="仿宋" w:eastAsia="仿宋" w:cs="仿宋"/>
              <w:szCs w:val="30"/>
              <w:highlight w:val="none"/>
            </w:rPr>
            <w:t>二、采购要求</w:t>
          </w:r>
          <w:r>
            <w:rPr>
              <w:rFonts w:hint="eastAsia" w:ascii="仿宋" w:hAnsi="仿宋" w:eastAsia="仿宋" w:cs="仿宋"/>
              <w:highlight w:val="none"/>
            </w:rPr>
            <w:tab/>
          </w:r>
          <w:r>
            <w:rPr>
              <w:rFonts w:hint="eastAsia" w:ascii="仿宋" w:hAnsi="仿宋" w:eastAsia="仿宋" w:cs="仿宋"/>
              <w:highlight w:val="none"/>
            </w:rPr>
            <w:fldChar w:fldCharType="begin"/>
          </w:r>
          <w:r>
            <w:rPr>
              <w:rFonts w:hint="eastAsia" w:ascii="仿宋" w:hAnsi="仿宋" w:eastAsia="仿宋" w:cs="仿宋"/>
              <w:highlight w:val="none"/>
            </w:rPr>
            <w:instrText xml:space="preserve"> PAGEREF _Toc18833 \h </w:instrText>
          </w:r>
          <w:r>
            <w:rPr>
              <w:rFonts w:hint="eastAsia" w:ascii="仿宋" w:hAnsi="仿宋" w:eastAsia="仿宋" w:cs="仿宋"/>
              <w:highlight w:val="none"/>
            </w:rPr>
            <w:fldChar w:fldCharType="separate"/>
          </w:r>
          <w:r>
            <w:rPr>
              <w:rFonts w:hint="eastAsia" w:ascii="仿宋" w:hAnsi="仿宋" w:eastAsia="仿宋" w:cs="仿宋"/>
              <w:highlight w:val="none"/>
            </w:rPr>
            <w:t>69</w:t>
          </w:r>
          <w:r>
            <w:rPr>
              <w:rFonts w:hint="eastAsia" w:ascii="仿宋" w:hAnsi="仿宋" w:eastAsia="仿宋" w:cs="仿宋"/>
              <w:highlight w:val="none"/>
            </w:rPr>
            <w:fldChar w:fldCharType="end"/>
          </w:r>
          <w:r>
            <w:rPr>
              <w:rFonts w:hint="eastAsia" w:ascii="仿宋" w:hAnsi="仿宋" w:eastAsia="仿宋" w:cs="仿宋"/>
              <w:highlight w:val="none"/>
            </w:rPr>
            <w:fldChar w:fldCharType="end"/>
          </w:r>
        </w:p>
        <w:p w14:paraId="3829F327">
          <w:pPr>
            <w:rPr>
              <w:rFonts w:hint="eastAsia" w:ascii="仿宋" w:hAnsi="仿宋" w:eastAsia="仿宋" w:cs="仿宋"/>
              <w:highlight w:val="none"/>
            </w:rPr>
          </w:pPr>
          <w:r>
            <w:rPr>
              <w:rFonts w:hint="eastAsia" w:ascii="仿宋" w:hAnsi="仿宋" w:eastAsia="仿宋" w:cs="仿宋"/>
              <w:highlight w:val="none"/>
            </w:rPr>
            <w:fldChar w:fldCharType="end"/>
          </w:r>
        </w:p>
      </w:sdtContent>
    </w:sdt>
    <w:p w14:paraId="275E9BD8">
      <w:pPr>
        <w:rPr>
          <w:rFonts w:hint="eastAsia" w:ascii="仿宋" w:hAnsi="仿宋" w:eastAsia="仿宋" w:cs="仿宋"/>
          <w:highlight w:val="none"/>
        </w:rPr>
      </w:pPr>
    </w:p>
    <w:p w14:paraId="51E07CBF">
      <w:pPr>
        <w:pStyle w:val="3"/>
        <w:rPr>
          <w:rFonts w:hint="eastAsia" w:ascii="仿宋" w:hAnsi="仿宋" w:eastAsia="仿宋" w:cs="仿宋"/>
          <w:sz w:val="32"/>
          <w:szCs w:val="32"/>
          <w:highlight w:val="none"/>
        </w:rPr>
        <w:sectPr>
          <w:pgSz w:w="11906" w:h="16838"/>
          <w:pgMar w:top="1440" w:right="1800" w:bottom="1440" w:left="1800" w:header="851" w:footer="992" w:gutter="0"/>
          <w:cols w:space="425" w:num="1"/>
          <w:docGrid w:type="lines" w:linePitch="312" w:charSpace="0"/>
        </w:sectPr>
      </w:pPr>
      <w:bookmarkStart w:id="0" w:name="_Toc475970871"/>
      <w:bookmarkStart w:id="1" w:name="_Toc5443"/>
      <w:bookmarkStart w:id="2" w:name="_Toc8249"/>
      <w:bookmarkStart w:id="3" w:name="_Toc10703"/>
      <w:bookmarkStart w:id="4" w:name="_Toc5955"/>
    </w:p>
    <w:p w14:paraId="741A29FF">
      <w:pPr>
        <w:pStyle w:val="3"/>
        <w:rPr>
          <w:rFonts w:hint="eastAsia" w:ascii="仿宋" w:hAnsi="仿宋" w:eastAsia="仿宋" w:cs="仿宋"/>
          <w:bCs/>
          <w:szCs w:val="32"/>
          <w:highlight w:val="none"/>
        </w:rPr>
      </w:pPr>
      <w:bookmarkStart w:id="5" w:name="_Toc12614"/>
      <w:bookmarkStart w:id="6" w:name="_Toc23187"/>
      <w:bookmarkStart w:id="7" w:name="_Toc22031"/>
      <w:r>
        <w:rPr>
          <w:rFonts w:hint="eastAsia" w:ascii="仿宋" w:hAnsi="仿宋" w:eastAsia="仿宋" w:cs="仿宋"/>
          <w:sz w:val="32"/>
          <w:szCs w:val="32"/>
          <w:highlight w:val="none"/>
        </w:rPr>
        <w:t>第一章、询价邀请</w:t>
      </w:r>
      <w:bookmarkEnd w:id="0"/>
      <w:bookmarkEnd w:id="1"/>
      <w:bookmarkEnd w:id="2"/>
      <w:bookmarkEnd w:id="3"/>
      <w:bookmarkEnd w:id="4"/>
      <w:bookmarkEnd w:id="5"/>
      <w:bookmarkEnd w:id="6"/>
      <w:bookmarkEnd w:id="7"/>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0A1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BB564AE">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项目概况（本项目参照政府采购询价方式执行）</w:t>
            </w:r>
          </w:p>
          <w:p w14:paraId="72496D61">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吉安职业技术学院计算机网络实训室设备采购项目的潜在供应商应在</w:t>
            </w:r>
            <w:r>
              <w:rPr>
                <w:rFonts w:hint="eastAsia" w:ascii="仿宋" w:hAnsi="仿宋" w:eastAsia="仿宋" w:cs="仿宋"/>
                <w:b/>
                <w:bCs/>
                <w:highlight w:val="none"/>
              </w:rPr>
              <w:t>江西企恒企业管理有限公司</w:t>
            </w:r>
            <w:r>
              <w:rPr>
                <w:rFonts w:hint="eastAsia" w:ascii="仿宋" w:hAnsi="仿宋" w:eastAsia="仿宋" w:cs="仿宋"/>
                <w:highlight w:val="none"/>
              </w:rPr>
              <w:t>获取采购文件，并于2026年</w:t>
            </w:r>
            <w:r>
              <w:rPr>
                <w:rFonts w:hint="eastAsia" w:ascii="仿宋" w:hAnsi="仿宋" w:eastAsia="仿宋" w:cs="仿宋"/>
                <w:highlight w:val="none"/>
                <w:lang w:val="en-US" w:eastAsia="zh-CN"/>
              </w:rPr>
              <w:t>8</w:t>
            </w:r>
            <w:r>
              <w:rPr>
                <w:rFonts w:hint="eastAsia" w:ascii="仿宋" w:hAnsi="仿宋" w:eastAsia="仿宋" w:cs="仿宋"/>
                <w:highlight w:val="none"/>
              </w:rPr>
              <w:t>月</w:t>
            </w:r>
            <w:r>
              <w:rPr>
                <w:rFonts w:hint="eastAsia" w:ascii="仿宋" w:hAnsi="仿宋" w:eastAsia="仿宋" w:cs="仿宋"/>
                <w:highlight w:val="none"/>
                <w:lang w:val="en-US" w:eastAsia="zh-CN"/>
              </w:rPr>
              <w:t>26</w:t>
            </w:r>
            <w:r>
              <w:rPr>
                <w:rFonts w:hint="eastAsia" w:ascii="仿宋" w:hAnsi="仿宋" w:eastAsia="仿宋" w:cs="仿宋"/>
                <w:highlight w:val="none"/>
              </w:rPr>
              <w:t>日9点30分（北京时间）前提交响应文件。</w:t>
            </w:r>
          </w:p>
        </w:tc>
      </w:tr>
    </w:tbl>
    <w:p w14:paraId="7285D0FE">
      <w:pPr>
        <w:pStyle w:val="19"/>
        <w:spacing w:line="348" w:lineRule="auto"/>
        <w:ind w:firstLine="0" w:firstLineChars="0"/>
        <w:rPr>
          <w:rFonts w:hint="eastAsia" w:ascii="仿宋" w:hAnsi="仿宋" w:eastAsia="仿宋" w:cs="仿宋"/>
          <w:b/>
          <w:bCs/>
          <w:highlight w:val="none"/>
        </w:rPr>
      </w:pPr>
      <w:bookmarkStart w:id="8" w:name="_Toc35393629"/>
      <w:bookmarkStart w:id="9" w:name="_Toc28359089"/>
      <w:bookmarkStart w:id="10" w:name="_Toc28359012"/>
      <w:bookmarkStart w:id="11" w:name="_Toc35393798"/>
      <w:r>
        <w:rPr>
          <w:rFonts w:hint="eastAsia" w:ascii="仿宋" w:hAnsi="仿宋" w:eastAsia="仿宋" w:cs="仿宋"/>
          <w:b/>
          <w:bCs/>
          <w:highlight w:val="none"/>
        </w:rPr>
        <w:t>一、项目基本情况</w:t>
      </w:r>
      <w:bookmarkEnd w:id="8"/>
      <w:bookmarkEnd w:id="9"/>
      <w:bookmarkEnd w:id="10"/>
      <w:bookmarkEnd w:id="11"/>
    </w:p>
    <w:p w14:paraId="56400D5D">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项目编号：赣企恒招〔2026〕-12号</w:t>
      </w:r>
    </w:p>
    <w:p w14:paraId="778DB213">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项目名称：吉安职业技术学院计算机网络实训室设备采购项目</w:t>
      </w:r>
    </w:p>
    <w:p w14:paraId="76C60B9B">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采购方式：询价</w:t>
      </w:r>
    </w:p>
    <w:p w14:paraId="55EAD9C5">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预算金额：416600元</w:t>
      </w:r>
    </w:p>
    <w:p w14:paraId="2E7DE883">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最高限价：无</w:t>
      </w:r>
    </w:p>
    <w:p w14:paraId="172300CC">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采购需求：</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3"/>
        <w:gridCol w:w="791"/>
        <w:gridCol w:w="813"/>
        <w:gridCol w:w="1954"/>
        <w:gridCol w:w="1758"/>
      </w:tblGrid>
      <w:tr w14:paraId="4DE8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pct"/>
            <w:vAlign w:val="center"/>
          </w:tcPr>
          <w:p w14:paraId="2EBFAD11">
            <w:pPr>
              <w:spacing w:line="348" w:lineRule="auto"/>
              <w:jc w:val="center"/>
              <w:rPr>
                <w:rFonts w:hint="eastAsia" w:ascii="仿宋" w:hAnsi="仿宋" w:eastAsia="仿宋" w:cs="仿宋"/>
                <w:highlight w:val="none"/>
              </w:rPr>
            </w:pPr>
            <w:r>
              <w:rPr>
                <w:rFonts w:hint="eastAsia" w:ascii="仿宋" w:hAnsi="仿宋" w:eastAsia="仿宋" w:cs="仿宋"/>
                <w:sz w:val="24"/>
                <w:highlight w:val="none"/>
              </w:rPr>
              <w:t>标的的名称</w:t>
            </w:r>
          </w:p>
        </w:tc>
        <w:tc>
          <w:tcPr>
            <w:tcW w:w="464" w:type="pct"/>
            <w:vAlign w:val="center"/>
          </w:tcPr>
          <w:p w14:paraId="333198AB">
            <w:pPr>
              <w:spacing w:line="348" w:lineRule="auto"/>
              <w:jc w:val="center"/>
              <w:rPr>
                <w:rFonts w:hint="eastAsia" w:ascii="仿宋" w:hAnsi="仿宋" w:eastAsia="仿宋" w:cs="仿宋"/>
                <w:sz w:val="24"/>
                <w:highlight w:val="none"/>
              </w:rPr>
            </w:pPr>
            <w:r>
              <w:rPr>
                <w:rFonts w:hint="eastAsia" w:ascii="仿宋" w:hAnsi="仿宋" w:eastAsia="仿宋" w:cs="仿宋"/>
                <w:sz w:val="24"/>
                <w:highlight w:val="none"/>
              </w:rPr>
              <w:t>数量</w:t>
            </w:r>
          </w:p>
        </w:tc>
        <w:tc>
          <w:tcPr>
            <w:tcW w:w="477" w:type="pct"/>
            <w:vAlign w:val="center"/>
          </w:tcPr>
          <w:p w14:paraId="291B03FB">
            <w:pPr>
              <w:spacing w:line="348" w:lineRule="auto"/>
              <w:jc w:val="center"/>
              <w:rPr>
                <w:rFonts w:hint="eastAsia" w:ascii="仿宋" w:hAnsi="仿宋" w:eastAsia="仿宋" w:cs="仿宋"/>
                <w:sz w:val="24"/>
                <w:highlight w:val="none"/>
              </w:rPr>
            </w:pPr>
            <w:r>
              <w:rPr>
                <w:rFonts w:hint="eastAsia" w:ascii="仿宋" w:hAnsi="仿宋" w:eastAsia="仿宋" w:cs="仿宋"/>
                <w:sz w:val="24"/>
                <w:highlight w:val="none"/>
              </w:rPr>
              <w:t>单位</w:t>
            </w:r>
          </w:p>
        </w:tc>
        <w:tc>
          <w:tcPr>
            <w:tcW w:w="1146" w:type="pct"/>
            <w:vAlign w:val="center"/>
          </w:tcPr>
          <w:p w14:paraId="5609B9A9">
            <w:pPr>
              <w:spacing w:line="348" w:lineRule="auto"/>
              <w:jc w:val="center"/>
              <w:rPr>
                <w:rFonts w:hint="eastAsia" w:ascii="仿宋" w:hAnsi="仿宋" w:eastAsia="仿宋" w:cs="仿宋"/>
                <w:sz w:val="24"/>
                <w:highlight w:val="none"/>
              </w:rPr>
            </w:pPr>
            <w:r>
              <w:rPr>
                <w:rFonts w:hint="eastAsia" w:ascii="仿宋" w:hAnsi="仿宋" w:eastAsia="仿宋" w:cs="仿宋"/>
                <w:sz w:val="24"/>
                <w:highlight w:val="none"/>
              </w:rPr>
              <w:t>简要技术需求</w:t>
            </w:r>
          </w:p>
        </w:tc>
        <w:tc>
          <w:tcPr>
            <w:tcW w:w="1031" w:type="pct"/>
            <w:vAlign w:val="center"/>
          </w:tcPr>
          <w:p w14:paraId="72CBE29D">
            <w:pPr>
              <w:spacing w:line="348" w:lineRule="auto"/>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14:paraId="1282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pct"/>
            <w:vAlign w:val="center"/>
          </w:tcPr>
          <w:p w14:paraId="32B99DB7">
            <w:pPr>
              <w:pStyle w:val="19"/>
              <w:spacing w:line="348" w:lineRule="auto"/>
              <w:ind w:firstLine="0" w:firstLineChars="0"/>
              <w:jc w:val="center"/>
              <w:rPr>
                <w:rFonts w:hint="eastAsia" w:ascii="仿宋" w:hAnsi="仿宋" w:eastAsia="仿宋" w:cs="仿宋"/>
                <w:highlight w:val="none"/>
              </w:rPr>
            </w:pPr>
            <w:r>
              <w:rPr>
                <w:rFonts w:hint="eastAsia" w:ascii="仿宋" w:hAnsi="仿宋" w:eastAsia="仿宋" w:cs="仿宋"/>
                <w:highlight w:val="none"/>
              </w:rPr>
              <w:t>吉安职业技术学院计算机网络实训室设备采购项目</w:t>
            </w:r>
          </w:p>
        </w:tc>
        <w:tc>
          <w:tcPr>
            <w:tcW w:w="464" w:type="pct"/>
            <w:vAlign w:val="center"/>
          </w:tcPr>
          <w:p w14:paraId="51D6FB67">
            <w:pPr>
              <w:pStyle w:val="19"/>
              <w:spacing w:line="348" w:lineRule="auto"/>
              <w:ind w:firstLine="0" w:firstLineChars="0"/>
              <w:jc w:val="center"/>
              <w:rPr>
                <w:rFonts w:hint="eastAsia" w:ascii="仿宋" w:hAnsi="仿宋" w:eastAsia="仿宋" w:cs="仿宋"/>
                <w:highlight w:val="none"/>
              </w:rPr>
            </w:pPr>
            <w:r>
              <w:rPr>
                <w:rFonts w:hint="eastAsia" w:ascii="仿宋" w:hAnsi="仿宋" w:eastAsia="仿宋" w:cs="仿宋"/>
                <w:highlight w:val="none"/>
              </w:rPr>
              <w:t>1</w:t>
            </w:r>
          </w:p>
        </w:tc>
        <w:tc>
          <w:tcPr>
            <w:tcW w:w="477" w:type="pct"/>
            <w:vAlign w:val="center"/>
          </w:tcPr>
          <w:p w14:paraId="521989EB">
            <w:pPr>
              <w:pStyle w:val="19"/>
              <w:spacing w:line="348" w:lineRule="auto"/>
              <w:ind w:firstLine="0" w:firstLineChars="0"/>
              <w:jc w:val="center"/>
              <w:rPr>
                <w:rFonts w:hint="eastAsia" w:ascii="仿宋" w:hAnsi="仿宋" w:eastAsia="仿宋" w:cs="仿宋"/>
                <w:highlight w:val="none"/>
              </w:rPr>
            </w:pPr>
            <w:r>
              <w:rPr>
                <w:rFonts w:hint="eastAsia" w:ascii="仿宋" w:hAnsi="仿宋" w:eastAsia="仿宋" w:cs="仿宋"/>
                <w:highlight w:val="none"/>
              </w:rPr>
              <w:t>批</w:t>
            </w:r>
          </w:p>
        </w:tc>
        <w:tc>
          <w:tcPr>
            <w:tcW w:w="1146" w:type="pct"/>
            <w:vAlign w:val="center"/>
          </w:tcPr>
          <w:p w14:paraId="0D698A6E">
            <w:pPr>
              <w:pStyle w:val="19"/>
              <w:spacing w:line="348" w:lineRule="auto"/>
              <w:ind w:firstLine="0" w:firstLineChars="0"/>
              <w:jc w:val="center"/>
              <w:rPr>
                <w:rFonts w:hint="eastAsia" w:ascii="仿宋" w:hAnsi="仿宋" w:eastAsia="仿宋" w:cs="仿宋"/>
                <w:highlight w:val="none"/>
              </w:rPr>
            </w:pPr>
            <w:r>
              <w:rPr>
                <w:rFonts w:hint="eastAsia" w:ascii="仿宋" w:hAnsi="仿宋" w:eastAsia="仿宋" w:cs="仿宋"/>
                <w:highlight w:val="none"/>
              </w:rPr>
              <w:t>详见询价通知书第五章</w:t>
            </w:r>
          </w:p>
        </w:tc>
        <w:tc>
          <w:tcPr>
            <w:tcW w:w="1031" w:type="pct"/>
            <w:vAlign w:val="center"/>
          </w:tcPr>
          <w:p w14:paraId="28822F40">
            <w:pPr>
              <w:pStyle w:val="19"/>
              <w:spacing w:line="348" w:lineRule="auto"/>
              <w:ind w:firstLine="0" w:firstLineChars="0"/>
              <w:jc w:val="center"/>
              <w:rPr>
                <w:rFonts w:hint="eastAsia" w:ascii="仿宋" w:hAnsi="仿宋" w:eastAsia="仿宋" w:cs="仿宋"/>
                <w:highlight w:val="none"/>
              </w:rPr>
            </w:pPr>
            <w:r>
              <w:rPr>
                <w:rFonts w:hint="eastAsia" w:ascii="仿宋" w:hAnsi="仿宋" w:eastAsia="仿宋" w:cs="仿宋"/>
                <w:b/>
                <w:bCs/>
                <w:highlight w:val="none"/>
              </w:rPr>
              <w:t>/</w:t>
            </w:r>
          </w:p>
        </w:tc>
      </w:tr>
    </w:tbl>
    <w:p w14:paraId="71AD0919">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合同履行期限（交货期）：</w:t>
      </w:r>
      <w:r>
        <w:rPr>
          <w:rFonts w:hint="eastAsia" w:ascii="仿宋" w:hAnsi="仿宋" w:eastAsia="仿宋" w:cs="仿宋"/>
          <w:color w:val="FF0000"/>
          <w:highlight w:val="none"/>
        </w:rPr>
        <w:t>合同签订后30个日历天内完成全部设备供货、安装、调试并交付使用。</w:t>
      </w:r>
    </w:p>
    <w:p w14:paraId="33CB022C">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本项目是否接受联合体：不接受</w:t>
      </w:r>
    </w:p>
    <w:p w14:paraId="37CFD47E">
      <w:pPr>
        <w:pStyle w:val="19"/>
        <w:spacing w:line="348" w:lineRule="auto"/>
        <w:ind w:firstLine="0" w:firstLineChars="0"/>
        <w:rPr>
          <w:rFonts w:hint="eastAsia" w:ascii="仿宋" w:hAnsi="仿宋" w:eastAsia="仿宋" w:cs="仿宋"/>
          <w:b/>
          <w:bCs/>
          <w:sz w:val="28"/>
          <w:szCs w:val="28"/>
          <w:highlight w:val="none"/>
        </w:rPr>
      </w:pPr>
      <w:bookmarkStart w:id="12" w:name="_Toc28359090"/>
      <w:bookmarkStart w:id="13" w:name="_Toc28359013"/>
      <w:bookmarkStart w:id="14" w:name="_Toc35393630"/>
      <w:bookmarkStart w:id="15" w:name="_Toc35393799"/>
      <w:r>
        <w:rPr>
          <w:rFonts w:hint="eastAsia" w:ascii="仿宋" w:hAnsi="仿宋" w:eastAsia="仿宋" w:cs="仿宋"/>
          <w:b/>
          <w:bCs/>
          <w:sz w:val="28"/>
          <w:szCs w:val="28"/>
          <w:highlight w:val="none"/>
        </w:rPr>
        <w:t>二、申请人的资格要求：</w:t>
      </w:r>
      <w:bookmarkEnd w:id="12"/>
      <w:bookmarkEnd w:id="13"/>
      <w:bookmarkEnd w:id="14"/>
      <w:bookmarkEnd w:id="15"/>
    </w:p>
    <w:p w14:paraId="6AFCD2BF">
      <w:pPr>
        <w:pStyle w:val="19"/>
        <w:spacing w:line="348" w:lineRule="auto"/>
        <w:ind w:firstLine="480"/>
        <w:rPr>
          <w:rFonts w:hint="eastAsia" w:ascii="仿宋" w:hAnsi="仿宋" w:eastAsia="仿宋" w:cs="仿宋"/>
          <w:highlight w:val="none"/>
        </w:rPr>
      </w:pPr>
      <w:bookmarkStart w:id="16" w:name="_Toc35393800"/>
      <w:bookmarkStart w:id="17" w:name="_Toc35393631"/>
      <w:r>
        <w:rPr>
          <w:rFonts w:hint="eastAsia" w:ascii="仿宋" w:hAnsi="仿宋" w:eastAsia="仿宋" w:cs="仿宋"/>
          <w:highlight w:val="none"/>
        </w:rPr>
        <w:t>1.满足《中华人民共和国政府采购法》第二十二条规定：</w:t>
      </w:r>
    </w:p>
    <w:p w14:paraId="42D6AC39">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（1）具有独立承担民事责任的能力；</w:t>
      </w:r>
    </w:p>
    <w:p w14:paraId="3F419B4F">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（2）具有良好的商业信誉和健全的财务会计制度；</w:t>
      </w:r>
    </w:p>
    <w:p w14:paraId="7F377612">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（3）具有履行合同所必需的设备和专业技术能力；</w:t>
      </w:r>
    </w:p>
    <w:p w14:paraId="696CCCBE">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（4）有依法缴纳税收和社会保障资金的良好记录；</w:t>
      </w:r>
    </w:p>
    <w:p w14:paraId="61300B49">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（5）参加政府采购活动前三年内，在经营活动中没有重大违法记录。</w:t>
      </w:r>
    </w:p>
    <w:p w14:paraId="54E26A2D">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（6）其他法律要求</w:t>
      </w:r>
    </w:p>
    <w:p w14:paraId="59FC1448">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①单位负责人为同一人或者存在直接控股、管理关系的不同供应商，不得参加同一合同项下的采购活动；</w:t>
      </w:r>
    </w:p>
    <w:p w14:paraId="4DC6225E">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②为采购项目提供整体设计、规范编制或者项目管理、监理、检测等服务的供应商不得参加该采购项目的采购活动；</w:t>
      </w:r>
    </w:p>
    <w:p w14:paraId="532190AC">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③供应商被“信用中国”网站列入失信被执行人和重大税收违法案件当事人名单的、被“中国政府采购网”网站列入政府采购严重违法失信行为记录名单（处罚期限尚未届满的），不得参与本项目的政府采购活动。</w:t>
      </w:r>
    </w:p>
    <w:p w14:paraId="21E324C7">
      <w:pPr>
        <w:pStyle w:val="19"/>
        <w:spacing w:line="348" w:lineRule="auto"/>
        <w:ind w:firstLine="482"/>
        <w:rPr>
          <w:rFonts w:hint="eastAsia" w:ascii="仿宋" w:hAnsi="仿宋" w:eastAsia="仿宋" w:cs="仿宋"/>
          <w:highlight w:val="none"/>
        </w:rPr>
      </w:pPr>
      <w:r>
        <w:rPr>
          <w:rFonts w:hint="eastAsia" w:ascii="仿宋" w:hAnsi="仿宋" w:eastAsia="仿宋" w:cs="仿宋"/>
          <w:b/>
          <w:bCs/>
          <w:highlight w:val="none"/>
        </w:rPr>
        <w:t>注：以上提供江西省政府采购供应商资格信用承诺函加盖响应人公章或提供其他证明文件（详见询价通知书第四章格式12-1）。</w:t>
      </w:r>
    </w:p>
    <w:p w14:paraId="56468EF7">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2.落实政府采购政策需满足的资格要求：</w:t>
      </w:r>
    </w:p>
    <w:p w14:paraId="3E083063">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（1）本项目：①属性为</w:t>
      </w:r>
      <w:r>
        <w:rPr>
          <w:rFonts w:hint="eastAsia" w:ascii="仿宋" w:hAnsi="仿宋" w:eastAsia="仿宋" w:cs="仿宋"/>
          <w:b/>
          <w:bCs/>
          <w:color w:val="FF0000"/>
          <w:highlight w:val="none"/>
        </w:rPr>
        <w:t>货物</w:t>
      </w:r>
      <w:r>
        <w:rPr>
          <w:rFonts w:hint="eastAsia" w:ascii="仿宋" w:hAnsi="仿宋" w:eastAsia="仿宋" w:cs="仿宋"/>
          <w:highlight w:val="none"/>
        </w:rPr>
        <w:t>；采购标的所属行业为</w:t>
      </w:r>
      <w:r>
        <w:rPr>
          <w:rFonts w:hint="eastAsia" w:ascii="仿宋" w:hAnsi="仿宋" w:eastAsia="仿宋" w:cs="仿宋"/>
          <w:b/>
          <w:bCs/>
          <w:color w:val="FF0000"/>
          <w:highlight w:val="none"/>
        </w:rPr>
        <w:t>工业</w:t>
      </w:r>
      <w:r>
        <w:rPr>
          <w:rFonts w:hint="eastAsia" w:ascii="仿宋" w:hAnsi="仿宋" w:eastAsia="仿宋" w:cs="仿宋"/>
          <w:highlight w:val="none"/>
        </w:rPr>
        <w:t>。②</w:t>
      </w:r>
      <w:r>
        <w:rPr>
          <w:rFonts w:hint="eastAsia" w:ascii="仿宋" w:hAnsi="仿宋" w:eastAsia="仿宋" w:cs="仿宋"/>
          <w:b/>
          <w:bCs/>
          <w:color w:val="FF0000"/>
          <w:highlight w:val="none"/>
        </w:rPr>
        <w:t>本项目非专门面向中小企业采购项目</w:t>
      </w:r>
      <w:r>
        <w:rPr>
          <w:rFonts w:hint="eastAsia" w:ascii="仿宋" w:hAnsi="仿宋" w:eastAsia="仿宋" w:cs="仿宋"/>
          <w:highlight w:val="none"/>
        </w:rPr>
        <w:t>。</w:t>
      </w:r>
    </w:p>
    <w:p w14:paraId="3AFDE7FA">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2）本项目采购落实小微企业、监狱企业、残疾人福利性单位、节能、环保产品等政府采购政策，提交产品属于政府强制采购节能产品、环境标志产品的，必须为本公告发布之日前最新一期《节能产品政府采购品目清单》、《环境标志产品政府采购品目清单》的产品。</w:t>
      </w:r>
    </w:p>
    <w:p w14:paraId="05DC6DA1">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3.本项目的特定资格要求：无</w:t>
      </w:r>
    </w:p>
    <w:p w14:paraId="04828CBA">
      <w:pPr>
        <w:pStyle w:val="19"/>
        <w:spacing w:line="348" w:lineRule="auto"/>
        <w:ind w:firstLine="0" w:firstLineChars="0"/>
        <w:rPr>
          <w:rFonts w:hint="eastAsia" w:ascii="仿宋" w:hAnsi="仿宋" w:eastAsia="仿宋" w:cs="仿宋"/>
          <w:highlight w:val="none"/>
        </w:rPr>
      </w:pPr>
      <w:r>
        <w:rPr>
          <w:rFonts w:hint="eastAsia" w:ascii="仿宋" w:hAnsi="仿宋" w:eastAsia="仿宋" w:cs="仿宋"/>
          <w:b/>
          <w:bCs/>
          <w:sz w:val="28"/>
          <w:szCs w:val="28"/>
          <w:highlight w:val="none"/>
        </w:rPr>
        <w:t>三、获取采购文件</w:t>
      </w:r>
      <w:bookmarkEnd w:id="16"/>
      <w:bookmarkEnd w:id="17"/>
    </w:p>
    <w:p w14:paraId="7E509297">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时间：2026年</w:t>
      </w:r>
      <w:r>
        <w:rPr>
          <w:rFonts w:hint="eastAsia" w:ascii="仿宋" w:hAnsi="仿宋" w:eastAsia="仿宋" w:cs="仿宋"/>
          <w:highlight w:val="none"/>
          <w:lang w:val="en-US" w:eastAsia="zh-CN"/>
        </w:rPr>
        <w:t>8</w:t>
      </w:r>
      <w:r>
        <w:rPr>
          <w:rFonts w:hint="eastAsia" w:ascii="仿宋" w:hAnsi="仿宋" w:eastAsia="仿宋" w:cs="仿宋"/>
          <w:highlight w:val="none"/>
        </w:rPr>
        <w:t>月</w:t>
      </w:r>
      <w:r>
        <w:rPr>
          <w:rFonts w:hint="eastAsia" w:ascii="仿宋" w:hAnsi="仿宋" w:eastAsia="仿宋" w:cs="仿宋"/>
          <w:highlight w:val="none"/>
          <w:lang w:val="en-US" w:eastAsia="zh-CN"/>
        </w:rPr>
        <w:t>19</w:t>
      </w:r>
      <w:r>
        <w:rPr>
          <w:rFonts w:hint="eastAsia" w:ascii="仿宋" w:hAnsi="仿宋" w:eastAsia="仿宋" w:cs="仿宋"/>
          <w:highlight w:val="none"/>
        </w:rPr>
        <w:t>日至2026年</w:t>
      </w:r>
      <w:r>
        <w:rPr>
          <w:rFonts w:hint="eastAsia" w:ascii="仿宋" w:hAnsi="仿宋" w:eastAsia="仿宋" w:cs="仿宋"/>
          <w:highlight w:val="none"/>
          <w:lang w:val="en-US" w:eastAsia="zh-CN"/>
        </w:rPr>
        <w:t>8</w:t>
      </w:r>
      <w:r>
        <w:rPr>
          <w:rFonts w:hint="eastAsia" w:ascii="仿宋" w:hAnsi="仿宋" w:eastAsia="仿宋" w:cs="仿宋"/>
          <w:highlight w:val="none"/>
        </w:rPr>
        <w:t>月</w:t>
      </w:r>
      <w:r>
        <w:rPr>
          <w:rFonts w:hint="eastAsia" w:ascii="仿宋" w:hAnsi="仿宋" w:eastAsia="仿宋" w:cs="仿宋"/>
          <w:highlight w:val="none"/>
          <w:lang w:val="en-US" w:eastAsia="zh-CN"/>
        </w:rPr>
        <w:t>25</w:t>
      </w:r>
      <w:r>
        <w:rPr>
          <w:rFonts w:hint="eastAsia" w:ascii="仿宋" w:hAnsi="仿宋" w:eastAsia="仿宋" w:cs="仿宋"/>
          <w:highlight w:val="none"/>
        </w:rPr>
        <w:t>日，工作日每天上午8：30至12:00，下午13:30至17:30（北京时间）</w:t>
      </w:r>
    </w:p>
    <w:p w14:paraId="5F3AEBDA">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地点：吉安市吉州区长冈南路29号二楼。</w:t>
      </w:r>
    </w:p>
    <w:p w14:paraId="0E4E7A27">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方式：</w:t>
      </w:r>
    </w:p>
    <w:p w14:paraId="0E792C13">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1.线下报名：提供报名申请表（见询价公告附件）加盖响应人公章、法定代表人授权书（格式自拟）原件、营业执照及被授权人身份证复印件加盖响应人公章至代理机构处报名后领取询价通知书。</w:t>
      </w:r>
    </w:p>
    <w:p w14:paraId="404418A9">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2.网上报名：可将上述材料以扫描件的形式发送至邮箱：jxqh123456@163.com，待代理机构审核报名资料无误后获取询价通知书。</w:t>
      </w:r>
    </w:p>
    <w:p w14:paraId="0ED2B2E7">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售价：0元/份</w:t>
      </w:r>
    </w:p>
    <w:p w14:paraId="6F93D73D">
      <w:pPr>
        <w:pStyle w:val="19"/>
        <w:spacing w:line="348" w:lineRule="auto"/>
        <w:ind w:firstLine="0" w:firstLineChars="0"/>
        <w:rPr>
          <w:rFonts w:hint="eastAsia" w:ascii="仿宋" w:hAnsi="仿宋" w:eastAsia="仿宋" w:cs="仿宋"/>
          <w:highlight w:val="none"/>
        </w:rPr>
      </w:pPr>
      <w:bookmarkStart w:id="18" w:name="_Toc28359015"/>
      <w:bookmarkStart w:id="19" w:name="_Toc28359092"/>
      <w:bookmarkStart w:id="20" w:name="_Toc35393632"/>
      <w:bookmarkStart w:id="21" w:name="_Toc35393801"/>
      <w:r>
        <w:rPr>
          <w:rFonts w:hint="eastAsia" w:ascii="仿宋" w:hAnsi="仿宋" w:eastAsia="仿宋" w:cs="仿宋"/>
          <w:b/>
          <w:bCs/>
          <w:sz w:val="28"/>
          <w:szCs w:val="28"/>
          <w:highlight w:val="none"/>
        </w:rPr>
        <w:t>四、响应文件提交</w:t>
      </w:r>
      <w:bookmarkEnd w:id="18"/>
      <w:bookmarkEnd w:id="19"/>
      <w:bookmarkEnd w:id="20"/>
      <w:bookmarkEnd w:id="21"/>
    </w:p>
    <w:p w14:paraId="094F444A">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截止时间：2026年</w:t>
      </w:r>
      <w:r>
        <w:rPr>
          <w:rFonts w:hint="eastAsia" w:ascii="仿宋" w:hAnsi="仿宋" w:eastAsia="仿宋" w:cs="仿宋"/>
          <w:highlight w:val="none"/>
          <w:lang w:val="en-US" w:eastAsia="zh-CN"/>
        </w:rPr>
        <w:t>8</w:t>
      </w:r>
      <w:r>
        <w:rPr>
          <w:rFonts w:hint="eastAsia" w:ascii="仿宋" w:hAnsi="仿宋" w:eastAsia="仿宋" w:cs="仿宋"/>
          <w:highlight w:val="none"/>
        </w:rPr>
        <w:t>月</w:t>
      </w:r>
      <w:r>
        <w:rPr>
          <w:rFonts w:hint="eastAsia" w:ascii="仿宋" w:hAnsi="仿宋" w:eastAsia="仿宋" w:cs="仿宋"/>
          <w:highlight w:val="none"/>
          <w:lang w:val="en-US" w:eastAsia="zh-CN"/>
        </w:rPr>
        <w:t>26</w:t>
      </w:r>
      <w:r>
        <w:rPr>
          <w:rFonts w:hint="eastAsia" w:ascii="仿宋" w:hAnsi="仿宋" w:eastAsia="仿宋" w:cs="仿宋"/>
          <w:highlight w:val="none"/>
        </w:rPr>
        <w:t>日9点30分（北京时间）</w:t>
      </w:r>
    </w:p>
    <w:p w14:paraId="5B00BCC8">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地点：吉安市吉州区长冈南路29号二楼。</w:t>
      </w:r>
    </w:p>
    <w:p w14:paraId="7A0A9DAD">
      <w:pPr>
        <w:pStyle w:val="19"/>
        <w:spacing w:line="348" w:lineRule="auto"/>
        <w:ind w:firstLine="0" w:firstLineChars="0"/>
        <w:rPr>
          <w:rFonts w:hint="eastAsia" w:ascii="仿宋" w:hAnsi="仿宋" w:eastAsia="仿宋" w:cs="仿宋"/>
          <w:highlight w:val="none"/>
        </w:rPr>
      </w:pPr>
      <w:bookmarkStart w:id="22" w:name="_Toc35393802"/>
      <w:bookmarkStart w:id="23" w:name="_Toc35393633"/>
      <w:bookmarkStart w:id="24" w:name="_Toc28359093"/>
      <w:bookmarkStart w:id="25" w:name="_Toc28359016"/>
      <w:r>
        <w:rPr>
          <w:rFonts w:hint="eastAsia" w:ascii="仿宋" w:hAnsi="仿宋" w:eastAsia="仿宋" w:cs="仿宋"/>
          <w:b/>
          <w:bCs/>
          <w:sz w:val="28"/>
          <w:szCs w:val="28"/>
          <w:highlight w:val="none"/>
        </w:rPr>
        <w:t>五、开启</w:t>
      </w:r>
      <w:bookmarkEnd w:id="22"/>
      <w:bookmarkEnd w:id="23"/>
      <w:bookmarkEnd w:id="24"/>
      <w:bookmarkEnd w:id="25"/>
    </w:p>
    <w:p w14:paraId="7F87EB5D">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时间：2026年</w:t>
      </w:r>
      <w:r>
        <w:rPr>
          <w:rFonts w:hint="eastAsia" w:ascii="仿宋" w:hAnsi="仿宋" w:eastAsia="仿宋" w:cs="仿宋"/>
          <w:highlight w:val="none"/>
          <w:lang w:val="en-US" w:eastAsia="zh-CN"/>
        </w:rPr>
        <w:t>8</w:t>
      </w:r>
      <w:r>
        <w:rPr>
          <w:rFonts w:hint="eastAsia" w:ascii="仿宋" w:hAnsi="仿宋" w:eastAsia="仿宋" w:cs="仿宋"/>
          <w:highlight w:val="none"/>
        </w:rPr>
        <w:t>月</w:t>
      </w:r>
      <w:r>
        <w:rPr>
          <w:rFonts w:hint="eastAsia" w:ascii="仿宋" w:hAnsi="仿宋" w:eastAsia="仿宋" w:cs="仿宋"/>
          <w:highlight w:val="none"/>
          <w:lang w:val="en-US" w:eastAsia="zh-CN"/>
        </w:rPr>
        <w:t>26</w:t>
      </w:r>
      <w:r>
        <w:rPr>
          <w:rFonts w:hint="eastAsia" w:ascii="仿宋" w:hAnsi="仿宋" w:eastAsia="仿宋" w:cs="仿宋"/>
          <w:highlight w:val="none"/>
        </w:rPr>
        <w:t>日9点30分（北京时间）</w:t>
      </w:r>
    </w:p>
    <w:p w14:paraId="1A96A2F7">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地点：吉安市吉州区长冈南路29号二楼。</w:t>
      </w:r>
    </w:p>
    <w:p w14:paraId="07783F65">
      <w:pPr>
        <w:pStyle w:val="19"/>
        <w:spacing w:line="348" w:lineRule="auto"/>
        <w:ind w:firstLine="0" w:firstLineChars="0"/>
        <w:rPr>
          <w:rFonts w:hint="eastAsia" w:ascii="仿宋" w:hAnsi="仿宋" w:eastAsia="仿宋" w:cs="仿宋"/>
          <w:highlight w:val="none"/>
        </w:rPr>
      </w:pPr>
      <w:bookmarkStart w:id="26" w:name="_Toc35393803"/>
      <w:bookmarkStart w:id="27" w:name="_Toc35393634"/>
      <w:bookmarkStart w:id="28" w:name="_Toc28359094"/>
      <w:bookmarkStart w:id="29" w:name="_Toc28359017"/>
      <w:r>
        <w:rPr>
          <w:rFonts w:hint="eastAsia" w:ascii="仿宋" w:hAnsi="仿宋" w:eastAsia="仿宋" w:cs="仿宋"/>
          <w:b/>
          <w:bCs/>
          <w:sz w:val="28"/>
          <w:szCs w:val="28"/>
          <w:highlight w:val="none"/>
        </w:rPr>
        <w:t>六、公告期限</w:t>
      </w:r>
      <w:bookmarkEnd w:id="26"/>
      <w:bookmarkEnd w:id="27"/>
      <w:bookmarkEnd w:id="28"/>
      <w:bookmarkEnd w:id="29"/>
    </w:p>
    <w:p w14:paraId="4C58E0F6">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自本公告发布之日起3个工作日。</w:t>
      </w:r>
    </w:p>
    <w:p w14:paraId="500A0C9B">
      <w:pPr>
        <w:pStyle w:val="19"/>
        <w:spacing w:line="348" w:lineRule="auto"/>
        <w:ind w:firstLine="0" w:firstLineChars="0"/>
        <w:rPr>
          <w:rFonts w:hint="eastAsia" w:ascii="仿宋" w:hAnsi="仿宋" w:eastAsia="仿宋" w:cs="仿宋"/>
          <w:highlight w:val="none"/>
        </w:rPr>
      </w:pPr>
      <w:bookmarkStart w:id="30" w:name="_Toc35393804"/>
      <w:bookmarkStart w:id="31" w:name="_Toc35393635"/>
      <w:r>
        <w:rPr>
          <w:rFonts w:hint="eastAsia" w:ascii="仿宋" w:hAnsi="仿宋" w:eastAsia="仿宋" w:cs="仿宋"/>
          <w:b/>
          <w:bCs/>
          <w:sz w:val="28"/>
          <w:szCs w:val="28"/>
          <w:highlight w:val="none"/>
        </w:rPr>
        <w:t>七、其他补充事宜</w:t>
      </w:r>
      <w:bookmarkEnd w:id="30"/>
      <w:bookmarkEnd w:id="31"/>
    </w:p>
    <w:p w14:paraId="310C0834">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1、询价通知书中未注明进口产品的，均为国产产品，不允许提供进口产品参加采购活动。</w:t>
      </w:r>
    </w:p>
    <w:p w14:paraId="4F8E6E02">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2、采购代理服务费：本项目向成交供应商收取采购代理服务费（含税），收费标准详见询价通知书。</w:t>
      </w:r>
    </w:p>
    <w:p w14:paraId="48929CE4">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3、特别说明：响应人须将除响应文件和报价表外的零散资料装入单独的文件袋中（可不密封），并在文件袋上注明响应人名称，代理机构概不接收未袋装的零散资料。</w:t>
      </w:r>
    </w:p>
    <w:p w14:paraId="53328B70">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4、吉安职业技术学院官网(http://www.japt.com.cn/)及江西省招标投标网（http://www.jxtb.org.cn/）公示。</w:t>
      </w:r>
    </w:p>
    <w:p w14:paraId="3A905D97">
      <w:pPr>
        <w:pStyle w:val="19"/>
        <w:spacing w:line="348" w:lineRule="auto"/>
        <w:ind w:firstLine="0" w:firstLineChars="0"/>
        <w:rPr>
          <w:rFonts w:hint="eastAsia" w:ascii="仿宋" w:hAnsi="仿宋" w:eastAsia="仿宋" w:cs="仿宋"/>
          <w:b/>
          <w:bCs/>
          <w:sz w:val="28"/>
          <w:szCs w:val="28"/>
          <w:highlight w:val="none"/>
        </w:rPr>
      </w:pPr>
      <w:bookmarkStart w:id="32" w:name="_Toc35393805"/>
      <w:bookmarkStart w:id="33" w:name="_Toc35393636"/>
      <w:bookmarkStart w:id="34" w:name="_Toc28359095"/>
      <w:bookmarkStart w:id="35" w:name="_Toc28359018"/>
      <w:r>
        <w:rPr>
          <w:rFonts w:hint="eastAsia" w:ascii="仿宋" w:hAnsi="仿宋" w:eastAsia="仿宋" w:cs="仿宋"/>
          <w:b/>
          <w:bCs/>
          <w:sz w:val="28"/>
          <w:szCs w:val="28"/>
          <w:highlight w:val="none"/>
        </w:rPr>
        <w:t>八、凡对本次采购提出询问，请按以下方式联系。</w:t>
      </w:r>
      <w:bookmarkEnd w:id="32"/>
      <w:bookmarkEnd w:id="33"/>
      <w:bookmarkEnd w:id="34"/>
      <w:bookmarkEnd w:id="35"/>
    </w:p>
    <w:p w14:paraId="53BBBF11">
      <w:pPr>
        <w:pStyle w:val="19"/>
        <w:spacing w:line="348" w:lineRule="auto"/>
        <w:ind w:firstLine="482"/>
        <w:rPr>
          <w:rFonts w:hint="eastAsia" w:ascii="仿宋" w:hAnsi="仿宋" w:eastAsia="仿宋" w:cs="仿宋"/>
          <w:b/>
          <w:bCs/>
          <w:highlight w:val="none"/>
        </w:rPr>
      </w:pPr>
      <w:bookmarkStart w:id="36" w:name="_Toc28359096"/>
      <w:bookmarkStart w:id="37" w:name="_Toc28359019"/>
      <w:bookmarkStart w:id="38" w:name="_Toc35393637"/>
      <w:bookmarkStart w:id="39" w:name="_Toc35393806"/>
      <w:r>
        <w:rPr>
          <w:rFonts w:hint="eastAsia" w:ascii="仿宋" w:hAnsi="仿宋" w:eastAsia="仿宋" w:cs="仿宋"/>
          <w:b/>
          <w:bCs/>
          <w:highlight w:val="none"/>
        </w:rPr>
        <w:t>1、采购人信息</w:t>
      </w:r>
      <w:bookmarkEnd w:id="36"/>
      <w:bookmarkEnd w:id="37"/>
      <w:bookmarkEnd w:id="38"/>
      <w:bookmarkEnd w:id="39"/>
      <w:bookmarkStart w:id="294" w:name="_GoBack"/>
      <w:bookmarkEnd w:id="294"/>
    </w:p>
    <w:p w14:paraId="5D2634E1">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名    称：吉安职业技术学院　　　　　　　　　　　　</w:t>
      </w:r>
    </w:p>
    <w:p w14:paraId="46546734">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地    址：江西省吉安市吉州区吉安南大道133号</w:t>
      </w:r>
    </w:p>
    <w:p w14:paraId="43A78D77">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联系人：杜老师　　　　　　　　　　　　</w:t>
      </w:r>
    </w:p>
    <w:p w14:paraId="7641853F">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 xml:space="preserve">联系方式：0796-8263265　　　　　　 　　　 </w:t>
      </w:r>
    </w:p>
    <w:p w14:paraId="372D69CF">
      <w:pPr>
        <w:pStyle w:val="19"/>
        <w:spacing w:line="348" w:lineRule="auto"/>
        <w:ind w:firstLine="482"/>
        <w:rPr>
          <w:rFonts w:hint="eastAsia" w:ascii="仿宋" w:hAnsi="仿宋" w:eastAsia="仿宋" w:cs="仿宋"/>
          <w:b/>
          <w:bCs/>
          <w:highlight w:val="none"/>
        </w:rPr>
      </w:pPr>
      <w:bookmarkStart w:id="40" w:name="_Toc28359020"/>
      <w:bookmarkStart w:id="41" w:name="_Toc35393807"/>
      <w:bookmarkStart w:id="42" w:name="_Toc28359097"/>
      <w:bookmarkStart w:id="43" w:name="_Toc35393638"/>
      <w:r>
        <w:rPr>
          <w:rFonts w:hint="eastAsia" w:ascii="仿宋" w:hAnsi="仿宋" w:eastAsia="仿宋" w:cs="仿宋"/>
          <w:b/>
          <w:bCs/>
          <w:highlight w:val="none"/>
        </w:rPr>
        <w:t>2、采购代理机构信息</w:t>
      </w:r>
      <w:bookmarkEnd w:id="40"/>
      <w:bookmarkEnd w:id="41"/>
      <w:bookmarkEnd w:id="42"/>
      <w:bookmarkEnd w:id="43"/>
    </w:p>
    <w:p w14:paraId="2EDEF110">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名    称：江西企恒企业管理有限公司</w:t>
      </w:r>
    </w:p>
    <w:p w14:paraId="3D468C26">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地　　址：吉安市吉州区长冈南路29号二楼</w:t>
      </w:r>
    </w:p>
    <w:p w14:paraId="4ECCFD0D">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联系人：朱先生</w:t>
      </w:r>
    </w:p>
    <w:p w14:paraId="1BA1361D">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联系方式：0796-8181718</w:t>
      </w:r>
    </w:p>
    <w:p w14:paraId="0D8931CF">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电子邮箱：jxqh123456@163.com</w:t>
      </w:r>
    </w:p>
    <w:p w14:paraId="43492E2A">
      <w:pPr>
        <w:pStyle w:val="19"/>
        <w:spacing w:line="348" w:lineRule="auto"/>
        <w:ind w:firstLine="480"/>
        <w:rPr>
          <w:rFonts w:hint="eastAsia" w:ascii="仿宋" w:hAnsi="仿宋" w:eastAsia="仿宋" w:cs="仿宋"/>
          <w:highlight w:val="none"/>
        </w:rPr>
      </w:pPr>
      <w:bookmarkStart w:id="44" w:name="_Toc35393639"/>
      <w:bookmarkStart w:id="45" w:name="_Toc7225"/>
      <w:bookmarkStart w:id="46" w:name="_Toc30874"/>
      <w:bookmarkStart w:id="47" w:name="_Toc35393808"/>
      <w:bookmarkStart w:id="48" w:name="_Toc23811"/>
      <w:bookmarkStart w:id="49" w:name="_Toc28359021"/>
      <w:bookmarkStart w:id="50" w:name="_Toc28359098"/>
      <w:r>
        <w:rPr>
          <w:rFonts w:hint="eastAsia" w:ascii="仿宋" w:hAnsi="仿宋" w:eastAsia="仿宋" w:cs="仿宋"/>
          <w:highlight w:val="none"/>
        </w:rPr>
        <w:t>3.项目联系方式</w:t>
      </w:r>
      <w:bookmarkEnd w:id="44"/>
      <w:bookmarkEnd w:id="45"/>
      <w:bookmarkEnd w:id="46"/>
      <w:bookmarkEnd w:id="47"/>
      <w:bookmarkEnd w:id="48"/>
      <w:bookmarkEnd w:id="49"/>
      <w:bookmarkEnd w:id="50"/>
    </w:p>
    <w:p w14:paraId="7E84D602">
      <w:pPr>
        <w:pStyle w:val="19"/>
        <w:spacing w:line="348" w:lineRule="auto"/>
        <w:ind w:firstLine="480"/>
        <w:rPr>
          <w:rFonts w:hint="eastAsia" w:ascii="仿宋" w:hAnsi="仿宋" w:eastAsia="仿宋" w:cs="仿宋"/>
          <w:highlight w:val="none"/>
        </w:rPr>
      </w:pPr>
      <w:r>
        <w:rPr>
          <w:rFonts w:hint="eastAsia" w:ascii="仿宋" w:hAnsi="仿宋" w:eastAsia="仿宋" w:cs="仿宋"/>
          <w:highlight w:val="none"/>
        </w:rPr>
        <w:t>项目联系人：朱先生</w:t>
      </w:r>
    </w:p>
    <w:p w14:paraId="399455CB">
      <w:pPr>
        <w:pStyle w:val="19"/>
        <w:spacing w:line="348" w:lineRule="auto"/>
        <w:ind w:firstLine="480"/>
        <w:rPr>
          <w:rFonts w:hint="eastAsia" w:ascii="仿宋" w:hAnsi="仿宋" w:eastAsia="仿宋" w:cs="仿宋"/>
          <w:highlight w:val="none"/>
        </w:rPr>
      </w:pPr>
      <w:bookmarkStart w:id="51" w:name="_Toc475960776"/>
      <w:bookmarkStart w:id="52" w:name="_Toc14305"/>
      <w:bookmarkStart w:id="53" w:name="_Toc30274"/>
      <w:r>
        <w:rPr>
          <w:rFonts w:hint="eastAsia" w:ascii="仿宋" w:hAnsi="仿宋" w:eastAsia="仿宋" w:cs="仿宋"/>
          <w:highlight w:val="none"/>
        </w:rPr>
        <w:t>电话：0796-8181718</w:t>
      </w:r>
      <w:bookmarkEnd w:id="51"/>
      <w:bookmarkEnd w:id="52"/>
      <w:bookmarkEnd w:id="53"/>
    </w:p>
    <w:p w14:paraId="3B597370">
      <w:pPr>
        <w:rPr>
          <w:rFonts w:hint="eastAsia" w:ascii="仿宋" w:hAnsi="仿宋" w:eastAsia="仿宋" w:cs="仿宋"/>
          <w:highlight w:val="none"/>
        </w:rPr>
      </w:pPr>
      <w:r>
        <w:rPr>
          <w:rFonts w:hint="eastAsia" w:ascii="仿宋" w:hAnsi="仿宋" w:eastAsia="仿宋" w:cs="仿宋"/>
          <w:highlight w:val="none"/>
        </w:rPr>
        <w:br w:type="page"/>
      </w:r>
    </w:p>
    <w:p w14:paraId="7BF1BF2C">
      <w:pPr>
        <w:pStyle w:val="3"/>
        <w:rPr>
          <w:rFonts w:hint="eastAsia" w:ascii="仿宋" w:hAnsi="仿宋" w:eastAsia="仿宋" w:cs="仿宋"/>
          <w:highlight w:val="none"/>
        </w:rPr>
      </w:pPr>
      <w:bookmarkStart w:id="54" w:name="_Toc14874"/>
      <w:bookmarkStart w:id="55" w:name="_Toc15147"/>
      <w:bookmarkStart w:id="56" w:name="_Toc1932"/>
      <w:r>
        <w:rPr>
          <w:rFonts w:hint="eastAsia" w:ascii="仿宋" w:hAnsi="仿宋" w:eastAsia="仿宋" w:cs="仿宋"/>
          <w:sz w:val="32"/>
          <w:szCs w:val="32"/>
          <w:highlight w:val="none"/>
        </w:rPr>
        <w:t>第二章、供应商须知</w:t>
      </w:r>
      <w:bookmarkEnd w:id="54"/>
      <w:bookmarkEnd w:id="55"/>
      <w:bookmarkEnd w:id="56"/>
    </w:p>
    <w:p w14:paraId="035963DC">
      <w:pPr>
        <w:pStyle w:val="4"/>
        <w:rPr>
          <w:rFonts w:hint="eastAsia" w:ascii="仿宋" w:hAnsi="仿宋" w:eastAsia="仿宋" w:cs="仿宋"/>
          <w:highlight w:val="none"/>
        </w:rPr>
      </w:pPr>
      <w:bookmarkStart w:id="57" w:name="_Toc373342697"/>
      <w:bookmarkStart w:id="58" w:name="_Toc23364"/>
      <w:bookmarkStart w:id="59" w:name="_Toc5317"/>
      <w:bookmarkStart w:id="60" w:name="_Toc287002504"/>
      <w:bookmarkStart w:id="61" w:name="_Toc1336"/>
      <w:bookmarkStart w:id="62" w:name="_Toc19410"/>
      <w:bookmarkStart w:id="63" w:name="_Toc475970873"/>
      <w:bookmarkStart w:id="64" w:name="_Toc373401591"/>
      <w:bookmarkStart w:id="65" w:name="_Toc10370"/>
      <w:bookmarkStart w:id="66" w:name="_Toc373342648"/>
      <w:bookmarkStart w:id="67" w:name="_Toc24807"/>
      <w:r>
        <w:rPr>
          <w:rFonts w:hint="eastAsia" w:ascii="仿宋" w:hAnsi="仿宋" w:eastAsia="仿宋" w:cs="仿宋"/>
          <w:sz w:val="28"/>
          <w:szCs w:val="28"/>
          <w:highlight w:val="none"/>
        </w:rPr>
        <w:t>一、供应商须知前附表</w:t>
      </w:r>
      <w:bookmarkEnd w:id="57"/>
      <w:bookmarkEnd w:id="58"/>
      <w:bookmarkEnd w:id="59"/>
      <w:bookmarkEnd w:id="60"/>
      <w:bookmarkEnd w:id="61"/>
      <w:bookmarkEnd w:id="62"/>
      <w:bookmarkEnd w:id="63"/>
      <w:bookmarkEnd w:id="64"/>
      <w:bookmarkEnd w:id="65"/>
      <w:bookmarkEnd w:id="66"/>
      <w:bookmarkEnd w:id="67"/>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890"/>
        <w:gridCol w:w="6746"/>
      </w:tblGrid>
      <w:tr w14:paraId="0D56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pct"/>
          </w:tcPr>
          <w:p w14:paraId="0B78F194">
            <w:pPr>
              <w:spacing w:line="360" w:lineRule="auto"/>
              <w:jc w:val="center"/>
              <w:rPr>
                <w:rFonts w:hint="eastAsia" w:ascii="仿宋" w:hAnsi="仿宋" w:eastAsia="仿宋" w:cs="仿宋"/>
                <w:highlight w:val="none"/>
              </w:rPr>
            </w:pPr>
            <w:r>
              <w:rPr>
                <w:rFonts w:hint="eastAsia" w:ascii="仿宋" w:hAnsi="仿宋" w:eastAsia="仿宋" w:cs="仿宋"/>
                <w:b/>
                <w:bCs/>
                <w:color w:val="000000"/>
                <w:sz w:val="24"/>
                <w:highlight w:val="none"/>
              </w:rPr>
              <w:t>序号</w:t>
            </w:r>
          </w:p>
        </w:tc>
        <w:tc>
          <w:tcPr>
            <w:tcW w:w="522" w:type="pct"/>
          </w:tcPr>
          <w:p w14:paraId="7761A128">
            <w:pPr>
              <w:spacing w:line="360" w:lineRule="auto"/>
              <w:jc w:val="center"/>
              <w:rPr>
                <w:rFonts w:hint="eastAsia" w:ascii="仿宋" w:hAnsi="仿宋" w:eastAsia="仿宋" w:cs="仿宋"/>
                <w:highlight w:val="none"/>
              </w:rPr>
            </w:pPr>
            <w:r>
              <w:rPr>
                <w:rFonts w:hint="eastAsia" w:ascii="仿宋" w:hAnsi="仿宋" w:eastAsia="仿宋" w:cs="仿宋"/>
                <w:b/>
                <w:bCs/>
                <w:color w:val="000000"/>
                <w:sz w:val="24"/>
                <w:highlight w:val="none"/>
              </w:rPr>
              <w:t>条款号</w:t>
            </w:r>
          </w:p>
        </w:tc>
        <w:tc>
          <w:tcPr>
            <w:tcW w:w="3958" w:type="pct"/>
          </w:tcPr>
          <w:p w14:paraId="69718A67">
            <w:pPr>
              <w:spacing w:line="360" w:lineRule="auto"/>
              <w:jc w:val="center"/>
              <w:rPr>
                <w:rFonts w:hint="eastAsia" w:ascii="仿宋" w:hAnsi="仿宋" w:eastAsia="仿宋" w:cs="仿宋"/>
                <w:highlight w:val="none"/>
              </w:rPr>
            </w:pPr>
            <w:r>
              <w:rPr>
                <w:rFonts w:hint="eastAsia" w:ascii="仿宋" w:hAnsi="仿宋" w:eastAsia="仿宋" w:cs="仿宋"/>
                <w:b/>
                <w:bCs/>
                <w:color w:val="000000"/>
                <w:sz w:val="24"/>
                <w:highlight w:val="none"/>
              </w:rPr>
              <w:t>内    容</w:t>
            </w:r>
          </w:p>
        </w:tc>
      </w:tr>
      <w:tr w14:paraId="12DE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8" w:type="pct"/>
            <w:vAlign w:val="center"/>
          </w:tcPr>
          <w:p w14:paraId="17E2403B">
            <w:pPr>
              <w:spacing w:line="360" w:lineRule="auto"/>
              <w:jc w:val="center"/>
              <w:rPr>
                <w:rFonts w:hint="eastAsia" w:ascii="仿宋" w:hAnsi="仿宋" w:eastAsia="仿宋" w:cs="仿宋"/>
                <w:highlight w:val="none"/>
              </w:rPr>
            </w:pPr>
            <w:r>
              <w:rPr>
                <w:rFonts w:hint="eastAsia" w:ascii="仿宋" w:hAnsi="仿宋" w:eastAsia="仿宋" w:cs="仿宋"/>
                <w:color w:val="000000"/>
                <w:sz w:val="24"/>
                <w:highlight w:val="none"/>
              </w:rPr>
              <w:t>1</w:t>
            </w:r>
          </w:p>
        </w:tc>
        <w:tc>
          <w:tcPr>
            <w:tcW w:w="522" w:type="pct"/>
            <w:vAlign w:val="center"/>
          </w:tcPr>
          <w:p w14:paraId="2E7BE1AA">
            <w:pPr>
              <w:spacing w:line="360" w:lineRule="auto"/>
              <w:jc w:val="center"/>
              <w:rPr>
                <w:rFonts w:hint="eastAsia" w:ascii="仿宋" w:hAnsi="仿宋" w:eastAsia="仿宋" w:cs="仿宋"/>
                <w:highlight w:val="none"/>
              </w:rPr>
            </w:pPr>
            <w:r>
              <w:rPr>
                <w:rFonts w:hint="eastAsia" w:ascii="仿宋" w:hAnsi="仿宋" w:eastAsia="仿宋" w:cs="仿宋"/>
                <w:color w:val="000000"/>
                <w:sz w:val="24"/>
                <w:highlight w:val="none"/>
              </w:rPr>
              <w:t>2.1</w:t>
            </w:r>
          </w:p>
        </w:tc>
        <w:tc>
          <w:tcPr>
            <w:tcW w:w="3958" w:type="pct"/>
            <w:vAlign w:val="center"/>
          </w:tcPr>
          <w:p w14:paraId="50D1096E">
            <w:pPr>
              <w:spacing w:line="360" w:lineRule="auto"/>
              <w:rPr>
                <w:rFonts w:hint="eastAsia" w:ascii="仿宋" w:hAnsi="仿宋" w:eastAsia="仿宋" w:cs="仿宋"/>
                <w:sz w:val="24"/>
                <w:highlight w:val="none"/>
              </w:rPr>
            </w:pPr>
            <w:r>
              <w:rPr>
                <w:rFonts w:hint="eastAsia" w:ascii="仿宋" w:hAnsi="仿宋" w:eastAsia="仿宋" w:cs="仿宋"/>
                <w:sz w:val="24"/>
                <w:highlight w:val="none"/>
              </w:rPr>
              <w:t>采购人名称：吉安职业技术学院</w:t>
            </w:r>
          </w:p>
          <w:p w14:paraId="46482AE6">
            <w:pPr>
              <w:spacing w:line="360" w:lineRule="auto"/>
              <w:rPr>
                <w:rFonts w:hint="eastAsia" w:ascii="仿宋" w:hAnsi="仿宋" w:eastAsia="仿宋" w:cs="仿宋"/>
                <w:sz w:val="24"/>
                <w:highlight w:val="none"/>
              </w:rPr>
            </w:pPr>
            <w:r>
              <w:rPr>
                <w:rFonts w:hint="eastAsia" w:ascii="仿宋" w:hAnsi="仿宋" w:eastAsia="仿宋" w:cs="仿宋"/>
                <w:sz w:val="24"/>
                <w:highlight w:val="none"/>
              </w:rPr>
              <w:t>联 系 人：</w:t>
            </w:r>
            <w:r>
              <w:rPr>
                <w:rFonts w:hint="eastAsia" w:ascii="仿宋" w:hAnsi="仿宋" w:eastAsia="仿宋" w:cs="仿宋"/>
                <w:highlight w:val="none"/>
              </w:rPr>
              <w:t>杜老师</w:t>
            </w:r>
          </w:p>
          <w:p w14:paraId="3B305100">
            <w:pPr>
              <w:spacing w:line="360" w:lineRule="auto"/>
              <w:rPr>
                <w:rFonts w:hint="eastAsia" w:ascii="仿宋" w:hAnsi="仿宋" w:eastAsia="仿宋" w:cs="仿宋"/>
                <w:highlight w:val="none"/>
              </w:rPr>
            </w:pPr>
            <w:r>
              <w:rPr>
                <w:rFonts w:hint="eastAsia" w:ascii="仿宋" w:hAnsi="仿宋" w:eastAsia="仿宋" w:cs="仿宋"/>
                <w:sz w:val="24"/>
                <w:highlight w:val="none"/>
              </w:rPr>
              <w:t xml:space="preserve">联系电话：0796-8263265                          </w:t>
            </w:r>
          </w:p>
        </w:tc>
      </w:tr>
      <w:tr w14:paraId="01CA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pct"/>
            <w:vAlign w:val="center"/>
          </w:tcPr>
          <w:p w14:paraId="32AE782D">
            <w:pPr>
              <w:spacing w:line="360" w:lineRule="auto"/>
              <w:jc w:val="center"/>
              <w:rPr>
                <w:rFonts w:hint="eastAsia" w:ascii="仿宋" w:hAnsi="仿宋" w:eastAsia="仿宋" w:cs="仿宋"/>
                <w:highlight w:val="none"/>
              </w:rPr>
            </w:pPr>
            <w:r>
              <w:rPr>
                <w:rFonts w:hint="eastAsia" w:ascii="仿宋" w:hAnsi="仿宋" w:eastAsia="仿宋" w:cs="仿宋"/>
                <w:color w:val="000000"/>
                <w:sz w:val="24"/>
                <w:highlight w:val="none"/>
              </w:rPr>
              <w:t>2</w:t>
            </w:r>
          </w:p>
        </w:tc>
        <w:tc>
          <w:tcPr>
            <w:tcW w:w="522" w:type="pct"/>
            <w:vAlign w:val="center"/>
          </w:tcPr>
          <w:p w14:paraId="0B6283CD">
            <w:pPr>
              <w:spacing w:line="360" w:lineRule="auto"/>
              <w:jc w:val="center"/>
              <w:rPr>
                <w:rFonts w:hint="eastAsia" w:ascii="仿宋" w:hAnsi="仿宋" w:eastAsia="仿宋" w:cs="仿宋"/>
                <w:highlight w:val="none"/>
              </w:rPr>
            </w:pPr>
            <w:r>
              <w:rPr>
                <w:rFonts w:hint="eastAsia" w:ascii="仿宋" w:hAnsi="仿宋" w:eastAsia="仿宋" w:cs="仿宋"/>
                <w:color w:val="000000"/>
                <w:sz w:val="24"/>
                <w:highlight w:val="none"/>
              </w:rPr>
              <w:t>2.2</w:t>
            </w:r>
          </w:p>
        </w:tc>
        <w:tc>
          <w:tcPr>
            <w:tcW w:w="3958" w:type="pct"/>
            <w:vAlign w:val="center"/>
          </w:tcPr>
          <w:p w14:paraId="4391AB6D">
            <w:pPr>
              <w:spacing w:before="156" w:beforeLines="50" w:line="360" w:lineRule="auto"/>
              <w:rPr>
                <w:rFonts w:hint="eastAsia" w:ascii="仿宋" w:hAnsi="仿宋" w:eastAsia="仿宋" w:cs="仿宋"/>
                <w:sz w:val="24"/>
                <w:highlight w:val="none"/>
              </w:rPr>
            </w:pPr>
            <w:r>
              <w:rPr>
                <w:rFonts w:hint="eastAsia" w:ascii="仿宋" w:hAnsi="仿宋" w:eastAsia="仿宋" w:cs="仿宋"/>
                <w:sz w:val="24"/>
                <w:highlight w:val="none"/>
              </w:rPr>
              <w:t>采购代理机构：江西企恒企业管理有限公司</w:t>
            </w:r>
          </w:p>
          <w:p w14:paraId="010A0A14">
            <w:pPr>
              <w:adjustRightInd w:val="0"/>
              <w:snapToGrid w:val="0"/>
              <w:spacing w:line="360" w:lineRule="auto"/>
              <w:rPr>
                <w:rFonts w:hint="eastAsia" w:ascii="仿宋" w:hAnsi="仿宋" w:eastAsia="仿宋" w:cs="仿宋"/>
                <w:color w:val="000000"/>
                <w:sz w:val="22"/>
                <w:szCs w:val="22"/>
                <w:highlight w:val="none"/>
                <w:shd w:val="clear" w:color="auto" w:fill="FFEDC4"/>
              </w:rPr>
            </w:pPr>
            <w:r>
              <w:rPr>
                <w:rFonts w:hint="eastAsia" w:ascii="仿宋" w:hAnsi="仿宋" w:eastAsia="仿宋" w:cs="仿宋"/>
                <w:sz w:val="24"/>
                <w:highlight w:val="none"/>
              </w:rPr>
              <w:t>地址：吉安市吉州区长冈南路29号二楼</w:t>
            </w:r>
          </w:p>
          <w:p w14:paraId="4A841B1F">
            <w:pPr>
              <w:adjustRightInd w:val="0"/>
              <w:snapToGrid w:val="0"/>
              <w:spacing w:line="360" w:lineRule="auto"/>
              <w:rPr>
                <w:rFonts w:hint="eastAsia" w:ascii="仿宋" w:hAnsi="仿宋" w:eastAsia="仿宋" w:cs="仿宋"/>
                <w:highlight w:val="none"/>
              </w:rPr>
            </w:pPr>
            <w:r>
              <w:rPr>
                <w:rFonts w:hint="eastAsia" w:ascii="仿宋" w:hAnsi="仿宋" w:eastAsia="仿宋" w:cs="仿宋"/>
                <w:sz w:val="24"/>
                <w:highlight w:val="none"/>
              </w:rPr>
              <w:t xml:space="preserve">联系人：朱先生               电话：0796-8181718           </w:t>
            </w:r>
          </w:p>
        </w:tc>
      </w:tr>
      <w:tr w14:paraId="199E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pct"/>
            <w:vAlign w:val="center"/>
          </w:tcPr>
          <w:p w14:paraId="5C6A0BC0">
            <w:pPr>
              <w:spacing w:line="360" w:lineRule="auto"/>
              <w:jc w:val="center"/>
              <w:rPr>
                <w:rFonts w:hint="eastAsia" w:ascii="仿宋" w:hAnsi="仿宋" w:eastAsia="仿宋" w:cs="仿宋"/>
                <w:highlight w:val="none"/>
              </w:rPr>
            </w:pPr>
            <w:r>
              <w:rPr>
                <w:rFonts w:hint="eastAsia" w:ascii="仿宋" w:hAnsi="仿宋" w:eastAsia="仿宋" w:cs="仿宋"/>
                <w:color w:val="000000"/>
                <w:sz w:val="24"/>
                <w:highlight w:val="none"/>
              </w:rPr>
              <w:t>3</w:t>
            </w:r>
          </w:p>
        </w:tc>
        <w:tc>
          <w:tcPr>
            <w:tcW w:w="522" w:type="pct"/>
            <w:vAlign w:val="center"/>
          </w:tcPr>
          <w:p w14:paraId="33FF4703">
            <w:pPr>
              <w:spacing w:line="360" w:lineRule="auto"/>
              <w:jc w:val="center"/>
              <w:rPr>
                <w:rFonts w:hint="eastAsia" w:ascii="仿宋" w:hAnsi="仿宋" w:eastAsia="仿宋" w:cs="仿宋"/>
                <w:highlight w:val="none"/>
              </w:rPr>
            </w:pPr>
            <w:r>
              <w:rPr>
                <w:rFonts w:hint="eastAsia" w:ascii="仿宋" w:hAnsi="仿宋" w:eastAsia="仿宋" w:cs="仿宋"/>
                <w:color w:val="000000"/>
                <w:sz w:val="24"/>
                <w:highlight w:val="none"/>
              </w:rPr>
              <w:t>3</w:t>
            </w:r>
          </w:p>
        </w:tc>
        <w:tc>
          <w:tcPr>
            <w:tcW w:w="3958" w:type="pct"/>
          </w:tcPr>
          <w:p w14:paraId="39D64E0B">
            <w:pPr>
              <w:spacing w:line="360" w:lineRule="auto"/>
              <w:rPr>
                <w:rFonts w:hint="eastAsia" w:ascii="仿宋" w:hAnsi="仿宋" w:eastAsia="仿宋" w:cs="仿宋"/>
                <w:sz w:val="24"/>
                <w:highlight w:val="none"/>
              </w:rPr>
            </w:pPr>
            <w:r>
              <w:rPr>
                <w:rFonts w:hint="eastAsia" w:ascii="仿宋" w:hAnsi="仿宋" w:eastAsia="仿宋" w:cs="仿宋"/>
                <w:color w:val="0D0D0D"/>
                <w:sz w:val="24"/>
                <w:highlight w:val="none"/>
              </w:rPr>
              <w:t>供应商的资格要求</w:t>
            </w:r>
            <w:r>
              <w:rPr>
                <w:rFonts w:hint="eastAsia" w:ascii="仿宋" w:hAnsi="仿宋" w:eastAsia="仿宋" w:cs="仿宋"/>
                <w:sz w:val="24"/>
                <w:highlight w:val="none"/>
              </w:rPr>
              <w:t>：</w:t>
            </w:r>
          </w:p>
          <w:p w14:paraId="71289147">
            <w:pPr>
              <w:spacing w:line="360" w:lineRule="auto"/>
              <w:rPr>
                <w:rFonts w:hint="eastAsia" w:ascii="仿宋" w:hAnsi="仿宋" w:eastAsia="仿宋" w:cs="仿宋"/>
                <w:highlight w:val="none"/>
              </w:rPr>
            </w:pPr>
            <w:r>
              <w:rPr>
                <w:rFonts w:hint="eastAsia" w:ascii="仿宋" w:hAnsi="仿宋" w:eastAsia="仿宋" w:cs="仿宋"/>
                <w:sz w:val="24"/>
                <w:highlight w:val="none"/>
              </w:rPr>
              <w:t>详见“询价邀请”</w:t>
            </w:r>
          </w:p>
        </w:tc>
      </w:tr>
      <w:tr w14:paraId="1F9C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pct"/>
            <w:vAlign w:val="center"/>
          </w:tcPr>
          <w:p w14:paraId="1DE8C93F">
            <w:pPr>
              <w:spacing w:line="360" w:lineRule="auto"/>
              <w:jc w:val="center"/>
              <w:rPr>
                <w:rFonts w:hint="eastAsia" w:ascii="仿宋" w:hAnsi="仿宋" w:eastAsia="仿宋" w:cs="仿宋"/>
                <w:highlight w:val="none"/>
              </w:rPr>
            </w:pPr>
            <w:r>
              <w:rPr>
                <w:rFonts w:hint="eastAsia" w:ascii="仿宋" w:hAnsi="仿宋" w:eastAsia="仿宋" w:cs="仿宋"/>
                <w:color w:val="000000"/>
                <w:sz w:val="24"/>
                <w:highlight w:val="none"/>
              </w:rPr>
              <w:t>4</w:t>
            </w:r>
          </w:p>
        </w:tc>
        <w:tc>
          <w:tcPr>
            <w:tcW w:w="522" w:type="pct"/>
            <w:vAlign w:val="center"/>
          </w:tcPr>
          <w:p w14:paraId="20C1C1BF">
            <w:pPr>
              <w:spacing w:line="360" w:lineRule="auto"/>
              <w:jc w:val="center"/>
              <w:rPr>
                <w:rFonts w:hint="eastAsia" w:ascii="仿宋" w:hAnsi="仿宋" w:eastAsia="仿宋" w:cs="仿宋"/>
                <w:highlight w:val="none"/>
              </w:rPr>
            </w:pPr>
            <w:r>
              <w:rPr>
                <w:rFonts w:hint="eastAsia" w:ascii="仿宋" w:hAnsi="仿宋" w:eastAsia="仿宋" w:cs="仿宋"/>
                <w:color w:val="000000"/>
                <w:sz w:val="24"/>
                <w:highlight w:val="none"/>
              </w:rPr>
              <w:t>16</w:t>
            </w:r>
          </w:p>
        </w:tc>
        <w:tc>
          <w:tcPr>
            <w:tcW w:w="3958" w:type="pct"/>
          </w:tcPr>
          <w:p w14:paraId="5F766C34">
            <w:pPr>
              <w:spacing w:line="360" w:lineRule="auto"/>
              <w:rPr>
                <w:rFonts w:hint="eastAsia" w:ascii="仿宋" w:hAnsi="仿宋" w:eastAsia="仿宋" w:cs="仿宋"/>
                <w:highlight w:val="none"/>
              </w:rPr>
            </w:pPr>
            <w:r>
              <w:rPr>
                <w:rFonts w:hint="eastAsia" w:ascii="仿宋" w:hAnsi="仿宋" w:eastAsia="仿宋" w:cs="仿宋"/>
                <w:b/>
                <w:sz w:val="24"/>
                <w:highlight w:val="none"/>
              </w:rPr>
              <w:t>询价保证金：本项目不收取询价保证金，询价通知书中其他有关询价保证金的描述均不适用。</w:t>
            </w:r>
          </w:p>
        </w:tc>
      </w:tr>
      <w:tr w14:paraId="670E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pct"/>
            <w:vAlign w:val="center"/>
          </w:tcPr>
          <w:p w14:paraId="6F411A4D">
            <w:pPr>
              <w:spacing w:line="360" w:lineRule="auto"/>
              <w:jc w:val="center"/>
              <w:rPr>
                <w:rFonts w:hint="eastAsia" w:ascii="仿宋" w:hAnsi="仿宋" w:eastAsia="仿宋" w:cs="仿宋"/>
                <w:highlight w:val="none"/>
              </w:rPr>
            </w:pPr>
            <w:r>
              <w:rPr>
                <w:rFonts w:hint="eastAsia" w:ascii="仿宋" w:hAnsi="仿宋" w:eastAsia="仿宋" w:cs="仿宋"/>
                <w:sz w:val="24"/>
                <w:highlight w:val="none"/>
              </w:rPr>
              <w:t>5</w:t>
            </w:r>
          </w:p>
        </w:tc>
        <w:tc>
          <w:tcPr>
            <w:tcW w:w="522" w:type="pct"/>
            <w:vAlign w:val="center"/>
          </w:tcPr>
          <w:p w14:paraId="6E824133">
            <w:pPr>
              <w:spacing w:line="360" w:lineRule="auto"/>
              <w:jc w:val="center"/>
              <w:rPr>
                <w:rFonts w:hint="eastAsia" w:ascii="仿宋" w:hAnsi="仿宋" w:eastAsia="仿宋" w:cs="仿宋"/>
                <w:highlight w:val="none"/>
              </w:rPr>
            </w:pPr>
            <w:r>
              <w:rPr>
                <w:rFonts w:hint="eastAsia" w:ascii="仿宋" w:hAnsi="仿宋" w:eastAsia="仿宋" w:cs="仿宋"/>
                <w:sz w:val="24"/>
                <w:highlight w:val="none"/>
              </w:rPr>
              <w:t>17.1</w:t>
            </w:r>
          </w:p>
        </w:tc>
        <w:tc>
          <w:tcPr>
            <w:tcW w:w="3958" w:type="pct"/>
          </w:tcPr>
          <w:p w14:paraId="44C2E925">
            <w:pPr>
              <w:spacing w:line="360" w:lineRule="auto"/>
              <w:rPr>
                <w:rFonts w:hint="eastAsia" w:ascii="仿宋" w:hAnsi="仿宋" w:eastAsia="仿宋" w:cs="仿宋"/>
                <w:highlight w:val="none"/>
              </w:rPr>
            </w:pPr>
            <w:r>
              <w:rPr>
                <w:rFonts w:hint="eastAsia" w:ascii="仿宋" w:hAnsi="仿宋" w:eastAsia="仿宋" w:cs="仿宋"/>
                <w:sz w:val="24"/>
                <w:highlight w:val="none"/>
              </w:rPr>
              <w:t>询价有效期：自询价之日起</w:t>
            </w:r>
            <w:r>
              <w:rPr>
                <w:rFonts w:hint="eastAsia" w:ascii="仿宋" w:hAnsi="仿宋" w:eastAsia="仿宋" w:cs="仿宋"/>
                <w:sz w:val="24"/>
                <w:highlight w:val="none"/>
                <w:u w:val="single"/>
              </w:rPr>
              <w:t xml:space="preserve">  </w:t>
            </w:r>
            <w:r>
              <w:rPr>
                <w:rFonts w:hint="eastAsia" w:ascii="仿宋" w:hAnsi="仿宋" w:eastAsia="仿宋" w:cs="仿宋"/>
                <w:b/>
                <w:sz w:val="24"/>
                <w:highlight w:val="none"/>
                <w:u w:val="single"/>
              </w:rPr>
              <w:t xml:space="preserve">90  </w:t>
            </w:r>
            <w:r>
              <w:rPr>
                <w:rFonts w:hint="eastAsia" w:ascii="仿宋" w:hAnsi="仿宋" w:eastAsia="仿宋" w:cs="仿宋"/>
                <w:sz w:val="24"/>
                <w:highlight w:val="none"/>
              </w:rPr>
              <w:t>天</w:t>
            </w:r>
          </w:p>
        </w:tc>
      </w:tr>
      <w:tr w14:paraId="44BA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pct"/>
            <w:vAlign w:val="center"/>
          </w:tcPr>
          <w:p w14:paraId="37FF94BA">
            <w:pPr>
              <w:spacing w:line="360" w:lineRule="auto"/>
              <w:jc w:val="center"/>
              <w:rPr>
                <w:rFonts w:hint="eastAsia" w:ascii="仿宋" w:hAnsi="仿宋" w:eastAsia="仿宋" w:cs="仿宋"/>
                <w:highlight w:val="none"/>
              </w:rPr>
            </w:pPr>
            <w:r>
              <w:rPr>
                <w:rFonts w:hint="eastAsia" w:ascii="仿宋" w:hAnsi="仿宋" w:eastAsia="仿宋" w:cs="仿宋"/>
                <w:sz w:val="24"/>
                <w:highlight w:val="none"/>
              </w:rPr>
              <w:t>6</w:t>
            </w:r>
          </w:p>
        </w:tc>
        <w:tc>
          <w:tcPr>
            <w:tcW w:w="522" w:type="pct"/>
            <w:vAlign w:val="center"/>
          </w:tcPr>
          <w:p w14:paraId="6A593C0C">
            <w:pPr>
              <w:spacing w:line="360" w:lineRule="auto"/>
              <w:jc w:val="center"/>
              <w:rPr>
                <w:rFonts w:hint="eastAsia" w:ascii="仿宋" w:hAnsi="仿宋" w:eastAsia="仿宋" w:cs="仿宋"/>
                <w:highlight w:val="none"/>
              </w:rPr>
            </w:pPr>
            <w:r>
              <w:rPr>
                <w:rFonts w:hint="eastAsia" w:ascii="仿宋" w:hAnsi="仿宋" w:eastAsia="仿宋" w:cs="仿宋"/>
                <w:sz w:val="24"/>
                <w:highlight w:val="none"/>
              </w:rPr>
              <w:t>18.1</w:t>
            </w:r>
          </w:p>
        </w:tc>
        <w:tc>
          <w:tcPr>
            <w:tcW w:w="3958" w:type="pct"/>
          </w:tcPr>
          <w:p w14:paraId="5E8616D0">
            <w:pPr>
              <w:spacing w:line="360" w:lineRule="auto"/>
              <w:rPr>
                <w:rFonts w:hint="eastAsia" w:ascii="仿宋" w:hAnsi="仿宋" w:eastAsia="仿宋" w:cs="仿宋"/>
                <w:highlight w:val="none"/>
              </w:rPr>
            </w:pPr>
            <w:r>
              <w:rPr>
                <w:rFonts w:hint="eastAsia" w:ascii="仿宋" w:hAnsi="仿宋" w:eastAsia="仿宋" w:cs="仿宋"/>
                <w:sz w:val="24"/>
                <w:highlight w:val="none"/>
              </w:rPr>
              <w:t>响应文件的份数：正本1份、 副本3份</w:t>
            </w:r>
          </w:p>
        </w:tc>
      </w:tr>
      <w:tr w14:paraId="5431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pct"/>
            <w:vAlign w:val="center"/>
          </w:tcPr>
          <w:p w14:paraId="0F625595">
            <w:pPr>
              <w:adjustRightInd w:val="0"/>
              <w:snapToGrid w:val="0"/>
              <w:spacing w:line="360" w:lineRule="auto"/>
              <w:jc w:val="center"/>
              <w:rPr>
                <w:rFonts w:hint="eastAsia" w:ascii="仿宋" w:hAnsi="仿宋" w:eastAsia="仿宋" w:cs="仿宋"/>
                <w:highlight w:val="none"/>
              </w:rPr>
            </w:pPr>
            <w:r>
              <w:rPr>
                <w:rFonts w:hint="eastAsia" w:ascii="仿宋" w:hAnsi="仿宋" w:eastAsia="仿宋" w:cs="仿宋"/>
                <w:sz w:val="24"/>
                <w:highlight w:val="none"/>
              </w:rPr>
              <w:t>7</w:t>
            </w:r>
          </w:p>
        </w:tc>
        <w:tc>
          <w:tcPr>
            <w:tcW w:w="522" w:type="pct"/>
            <w:vAlign w:val="center"/>
          </w:tcPr>
          <w:p w14:paraId="0CFFB7E8">
            <w:pPr>
              <w:adjustRightInd w:val="0"/>
              <w:snapToGrid w:val="0"/>
              <w:spacing w:line="360" w:lineRule="auto"/>
              <w:jc w:val="center"/>
              <w:rPr>
                <w:rFonts w:hint="eastAsia" w:ascii="仿宋" w:hAnsi="仿宋" w:eastAsia="仿宋" w:cs="仿宋"/>
                <w:highlight w:val="none"/>
              </w:rPr>
            </w:pPr>
            <w:r>
              <w:rPr>
                <w:rFonts w:hint="eastAsia" w:ascii="仿宋" w:hAnsi="仿宋" w:eastAsia="仿宋" w:cs="仿宋"/>
                <w:sz w:val="24"/>
                <w:highlight w:val="none"/>
              </w:rPr>
              <w:t>20</w:t>
            </w:r>
          </w:p>
        </w:tc>
        <w:tc>
          <w:tcPr>
            <w:tcW w:w="3958" w:type="pct"/>
            <w:vAlign w:val="center"/>
          </w:tcPr>
          <w:p w14:paraId="184ADD8D">
            <w:pPr>
              <w:spacing w:line="360" w:lineRule="auto"/>
              <w:rPr>
                <w:rFonts w:hint="eastAsia" w:ascii="仿宋" w:hAnsi="仿宋" w:eastAsia="仿宋" w:cs="仿宋"/>
                <w:highlight w:val="none"/>
              </w:rPr>
            </w:pPr>
            <w:r>
              <w:rPr>
                <w:rFonts w:hint="eastAsia" w:ascii="仿宋" w:hAnsi="仿宋" w:eastAsia="仿宋" w:cs="仿宋"/>
                <w:sz w:val="24"/>
                <w:highlight w:val="none"/>
              </w:rPr>
              <w:t>响应文件递交截止时间：详见“询价邀请”</w:t>
            </w:r>
          </w:p>
        </w:tc>
      </w:tr>
      <w:tr w14:paraId="13F92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pct"/>
            <w:vAlign w:val="center"/>
          </w:tcPr>
          <w:p w14:paraId="6542399F">
            <w:pPr>
              <w:adjustRightInd w:val="0"/>
              <w:snapToGrid w:val="0"/>
              <w:spacing w:line="360" w:lineRule="auto"/>
              <w:jc w:val="center"/>
              <w:rPr>
                <w:rFonts w:hint="eastAsia" w:ascii="仿宋" w:hAnsi="仿宋" w:eastAsia="仿宋" w:cs="仿宋"/>
                <w:highlight w:val="none"/>
              </w:rPr>
            </w:pPr>
            <w:r>
              <w:rPr>
                <w:rFonts w:hint="eastAsia" w:ascii="仿宋" w:hAnsi="仿宋" w:eastAsia="仿宋" w:cs="仿宋"/>
                <w:sz w:val="24"/>
                <w:highlight w:val="none"/>
              </w:rPr>
              <w:t>8</w:t>
            </w:r>
          </w:p>
        </w:tc>
        <w:tc>
          <w:tcPr>
            <w:tcW w:w="522" w:type="pct"/>
            <w:vAlign w:val="center"/>
          </w:tcPr>
          <w:p w14:paraId="52AE4594">
            <w:pPr>
              <w:adjustRightInd w:val="0"/>
              <w:snapToGrid w:val="0"/>
              <w:spacing w:line="360" w:lineRule="auto"/>
              <w:jc w:val="center"/>
              <w:rPr>
                <w:rFonts w:hint="eastAsia" w:ascii="仿宋" w:hAnsi="仿宋" w:eastAsia="仿宋" w:cs="仿宋"/>
                <w:highlight w:val="none"/>
              </w:rPr>
            </w:pPr>
            <w:r>
              <w:rPr>
                <w:rFonts w:hint="eastAsia" w:ascii="仿宋" w:hAnsi="仿宋" w:eastAsia="仿宋" w:cs="仿宋"/>
                <w:sz w:val="24"/>
                <w:highlight w:val="none"/>
              </w:rPr>
              <w:t>23.1</w:t>
            </w:r>
          </w:p>
        </w:tc>
        <w:tc>
          <w:tcPr>
            <w:tcW w:w="3958" w:type="pct"/>
            <w:vAlign w:val="center"/>
          </w:tcPr>
          <w:p w14:paraId="3F0780E4">
            <w:pPr>
              <w:spacing w:line="360" w:lineRule="auto"/>
              <w:rPr>
                <w:rFonts w:hint="eastAsia" w:ascii="仿宋" w:hAnsi="仿宋" w:eastAsia="仿宋" w:cs="仿宋"/>
                <w:sz w:val="24"/>
                <w:highlight w:val="none"/>
              </w:rPr>
            </w:pPr>
            <w:r>
              <w:rPr>
                <w:rFonts w:hint="eastAsia" w:ascii="仿宋" w:hAnsi="仿宋" w:eastAsia="仿宋" w:cs="仿宋"/>
                <w:sz w:val="24"/>
                <w:highlight w:val="none"/>
              </w:rPr>
              <w:t>询价时间：详见“询价邀请”</w:t>
            </w:r>
          </w:p>
          <w:p w14:paraId="73FDB18F">
            <w:pPr>
              <w:spacing w:line="360" w:lineRule="auto"/>
              <w:rPr>
                <w:rFonts w:hint="eastAsia" w:ascii="仿宋" w:hAnsi="仿宋" w:eastAsia="仿宋" w:cs="仿宋"/>
                <w:highlight w:val="none"/>
              </w:rPr>
            </w:pPr>
            <w:r>
              <w:rPr>
                <w:rFonts w:hint="eastAsia" w:ascii="仿宋" w:hAnsi="仿宋" w:eastAsia="仿宋" w:cs="仿宋"/>
                <w:sz w:val="24"/>
                <w:highlight w:val="none"/>
              </w:rPr>
              <w:t>询价地点：详见“询价邀请”</w:t>
            </w:r>
          </w:p>
        </w:tc>
      </w:tr>
      <w:tr w14:paraId="50AF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pct"/>
            <w:vAlign w:val="center"/>
          </w:tcPr>
          <w:p w14:paraId="673CE5BA">
            <w:pPr>
              <w:spacing w:line="360" w:lineRule="auto"/>
              <w:jc w:val="center"/>
              <w:rPr>
                <w:rFonts w:hint="eastAsia" w:ascii="仿宋" w:hAnsi="仿宋" w:eastAsia="仿宋" w:cs="仿宋"/>
                <w:highlight w:val="none"/>
              </w:rPr>
            </w:pPr>
            <w:r>
              <w:rPr>
                <w:rFonts w:hint="eastAsia" w:ascii="仿宋" w:hAnsi="仿宋" w:eastAsia="仿宋" w:cs="仿宋"/>
                <w:color w:val="000000"/>
                <w:sz w:val="24"/>
                <w:highlight w:val="none"/>
              </w:rPr>
              <w:t>9</w:t>
            </w:r>
          </w:p>
        </w:tc>
        <w:tc>
          <w:tcPr>
            <w:tcW w:w="522" w:type="pct"/>
            <w:vAlign w:val="center"/>
          </w:tcPr>
          <w:p w14:paraId="53ABD9F6">
            <w:pPr>
              <w:spacing w:line="360" w:lineRule="auto"/>
              <w:jc w:val="center"/>
              <w:rPr>
                <w:rFonts w:hint="eastAsia" w:ascii="仿宋" w:hAnsi="仿宋" w:eastAsia="仿宋" w:cs="仿宋"/>
                <w:highlight w:val="none"/>
              </w:rPr>
            </w:pPr>
            <w:r>
              <w:rPr>
                <w:rFonts w:hint="eastAsia" w:ascii="仿宋" w:hAnsi="仿宋" w:eastAsia="仿宋" w:cs="仿宋"/>
                <w:color w:val="000000"/>
                <w:sz w:val="24"/>
                <w:highlight w:val="none"/>
              </w:rPr>
              <w:t>28</w:t>
            </w:r>
          </w:p>
        </w:tc>
        <w:tc>
          <w:tcPr>
            <w:tcW w:w="3958" w:type="pct"/>
            <w:vAlign w:val="center"/>
          </w:tcPr>
          <w:p w14:paraId="448DC5D2">
            <w:pPr>
              <w:adjustRightInd w:val="0"/>
              <w:snapToGrid w:val="0"/>
              <w:spacing w:line="360" w:lineRule="auto"/>
              <w:rPr>
                <w:rFonts w:hint="eastAsia" w:ascii="仿宋" w:hAnsi="仿宋" w:eastAsia="仿宋" w:cs="仿宋"/>
                <w:b/>
                <w:color w:val="0D0D0D"/>
                <w:sz w:val="24"/>
                <w:highlight w:val="none"/>
                <w:lang w:val="en-GB"/>
              </w:rPr>
            </w:pPr>
            <w:r>
              <w:rPr>
                <w:rFonts w:hint="eastAsia" w:ascii="仿宋" w:hAnsi="仿宋" w:eastAsia="仿宋" w:cs="仿宋"/>
                <w:b/>
                <w:color w:val="0D0D0D"/>
                <w:sz w:val="24"/>
                <w:highlight w:val="none"/>
                <w:lang w:val="en-GB"/>
              </w:rPr>
              <w:t>确定成交供应商：</w:t>
            </w:r>
          </w:p>
          <w:p w14:paraId="0C4EB26B">
            <w:pPr>
              <w:adjustRightInd w:val="0"/>
              <w:snapToGrid w:val="0"/>
              <w:spacing w:line="360" w:lineRule="auto"/>
              <w:rPr>
                <w:rFonts w:hint="eastAsia" w:ascii="仿宋" w:hAnsi="仿宋" w:eastAsia="仿宋" w:cs="仿宋"/>
                <w:b/>
                <w:color w:val="0D0D0D"/>
                <w:sz w:val="24"/>
                <w:highlight w:val="none"/>
                <w:lang w:val="en-GB"/>
              </w:rPr>
            </w:pPr>
            <w:r>
              <w:rPr>
                <w:rFonts w:hint="eastAsia" w:ascii="仿宋" w:hAnsi="仿宋" w:eastAsia="仿宋" w:cs="仿宋"/>
                <w:b/>
                <w:color w:val="0D0D0D"/>
                <w:sz w:val="24"/>
                <w:highlight w:val="none"/>
                <w:lang w:val="en-GB"/>
              </w:rPr>
              <w:t>采购人从评审报告提出的成交候选人中，根据质量和服务均能满足询价通知书实质性响应要求且最后报价最低的原则确定成交供应商，也可以书面授权询价小组直接确定成交供应商。</w:t>
            </w:r>
          </w:p>
          <w:p w14:paraId="0F9A4D2F">
            <w:pPr>
              <w:spacing w:line="360" w:lineRule="auto"/>
              <w:rPr>
                <w:rFonts w:hint="eastAsia" w:ascii="仿宋" w:hAnsi="仿宋" w:eastAsia="仿宋" w:cs="仿宋"/>
                <w:bCs/>
                <w:sz w:val="24"/>
                <w:highlight w:val="none"/>
              </w:rPr>
            </w:pPr>
            <w:r>
              <w:rPr>
                <w:rFonts w:hint="eastAsia" w:ascii="仿宋" w:hAnsi="仿宋" w:eastAsia="仿宋" w:cs="仿宋"/>
                <w:bCs/>
                <w:sz w:val="24"/>
                <w:highlight w:val="none"/>
              </w:rPr>
              <w:t>注：</w:t>
            </w:r>
            <w:r>
              <w:rPr>
                <w:rFonts w:hint="eastAsia" w:ascii="仿宋" w:hAnsi="仿宋" w:eastAsia="仿宋" w:cs="仿宋"/>
                <w:color w:val="0D0D0D"/>
                <w:sz w:val="24"/>
                <w:highlight w:val="none"/>
              </w:rPr>
              <w:t>（1）对小型和微型企业产品的价格给予</w:t>
            </w:r>
            <w:r>
              <w:rPr>
                <w:rFonts w:hint="eastAsia" w:ascii="仿宋" w:hAnsi="仿宋" w:eastAsia="仿宋" w:cs="仿宋"/>
                <w:b/>
                <w:bCs/>
                <w:color w:val="0D0D0D"/>
                <w:sz w:val="24"/>
                <w:highlight w:val="none"/>
              </w:rPr>
              <w:t>10%</w:t>
            </w:r>
            <w:r>
              <w:rPr>
                <w:rFonts w:hint="eastAsia" w:ascii="仿宋" w:hAnsi="仿宋" w:eastAsia="仿宋" w:cs="仿宋"/>
                <w:color w:val="0D0D0D"/>
                <w:sz w:val="24"/>
                <w:highlight w:val="none"/>
              </w:rPr>
              <w:t>的扣除，用扣除后的价格参与评审。</w:t>
            </w:r>
          </w:p>
          <w:p w14:paraId="206C9AB5">
            <w:pPr>
              <w:spacing w:line="360" w:lineRule="auto"/>
              <w:rPr>
                <w:rFonts w:hint="eastAsia" w:ascii="仿宋" w:hAnsi="仿宋" w:eastAsia="仿宋" w:cs="仿宋"/>
                <w:color w:val="0D0D0D"/>
                <w:sz w:val="24"/>
                <w:highlight w:val="none"/>
              </w:rPr>
            </w:pPr>
            <w:r>
              <w:rPr>
                <w:rFonts w:hint="eastAsia" w:ascii="仿宋" w:hAnsi="仿宋" w:eastAsia="仿宋" w:cs="仿宋"/>
                <w:color w:val="0D0D0D"/>
                <w:sz w:val="24"/>
                <w:highlight w:val="none"/>
              </w:rPr>
              <w:t>（2）监狱企业视同小型、微型企业，享受评审中价格扣除等政府促进中小企业发展的政府采购政策。</w:t>
            </w:r>
          </w:p>
          <w:p w14:paraId="35D525EC">
            <w:pPr>
              <w:spacing w:line="360" w:lineRule="auto"/>
              <w:rPr>
                <w:rFonts w:hint="eastAsia" w:ascii="仿宋" w:hAnsi="仿宋" w:eastAsia="仿宋" w:cs="仿宋"/>
                <w:color w:val="0D0D0D"/>
                <w:sz w:val="24"/>
                <w:highlight w:val="none"/>
              </w:rPr>
            </w:pPr>
            <w:r>
              <w:rPr>
                <w:rFonts w:hint="eastAsia" w:ascii="仿宋" w:hAnsi="仿宋" w:eastAsia="仿宋" w:cs="仿宋"/>
                <w:color w:val="0D0D0D"/>
                <w:sz w:val="24"/>
                <w:highlight w:val="none"/>
              </w:rPr>
              <w:t>（3）残疾人福利性单位</w:t>
            </w:r>
            <w:r>
              <w:rPr>
                <w:rFonts w:hint="eastAsia" w:ascii="仿宋" w:hAnsi="仿宋" w:eastAsia="仿宋" w:cs="仿宋"/>
                <w:sz w:val="24"/>
                <w:highlight w:val="none"/>
              </w:rPr>
              <w:t>视同小型、微型企业，享受评审中价格扣除等政府促进中小企业发展的政府采购政策；</w:t>
            </w:r>
            <w:r>
              <w:rPr>
                <w:rFonts w:hint="eastAsia" w:ascii="仿宋" w:hAnsi="仿宋" w:eastAsia="仿宋" w:cs="仿宋"/>
                <w:color w:val="0D0D0D"/>
                <w:sz w:val="24"/>
                <w:highlight w:val="none"/>
              </w:rPr>
              <w:t>福利性单位属于小型、微型企业的，不重复享受政策。</w:t>
            </w:r>
          </w:p>
          <w:p w14:paraId="241D7EB3">
            <w:pPr>
              <w:spacing w:line="360" w:lineRule="auto"/>
              <w:rPr>
                <w:rFonts w:hint="eastAsia" w:ascii="仿宋" w:hAnsi="仿宋" w:eastAsia="仿宋" w:cs="仿宋"/>
                <w:highlight w:val="none"/>
              </w:rPr>
            </w:pPr>
            <w:r>
              <w:rPr>
                <w:rFonts w:hint="eastAsia" w:ascii="仿宋" w:hAnsi="仿宋" w:eastAsia="仿宋" w:cs="仿宋"/>
                <w:sz w:val="24"/>
                <w:highlight w:val="none"/>
              </w:rPr>
              <w:t>采购的产品属于政府采购节能产品、环境标志产品品目清单范围的，对获得证书的产品（国家确定的认证机构出具的、处于有效期之内的节能产品、环境标志产品认证证书）实施政府优先或强制采购。</w:t>
            </w:r>
          </w:p>
        </w:tc>
      </w:tr>
      <w:tr w14:paraId="15A2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pct"/>
            <w:vAlign w:val="center"/>
          </w:tcPr>
          <w:p w14:paraId="350465B3">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10</w:t>
            </w:r>
          </w:p>
        </w:tc>
        <w:tc>
          <w:tcPr>
            <w:tcW w:w="522" w:type="pct"/>
            <w:vAlign w:val="center"/>
          </w:tcPr>
          <w:p w14:paraId="5CFBD215">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37.1</w:t>
            </w:r>
          </w:p>
        </w:tc>
        <w:tc>
          <w:tcPr>
            <w:tcW w:w="3958" w:type="pct"/>
          </w:tcPr>
          <w:p w14:paraId="7CAD30D0">
            <w:pPr>
              <w:spacing w:line="360" w:lineRule="auto"/>
              <w:rPr>
                <w:rFonts w:hint="eastAsia" w:ascii="仿宋" w:hAnsi="仿宋" w:eastAsia="仿宋" w:cs="仿宋"/>
                <w:sz w:val="24"/>
                <w:highlight w:val="none"/>
              </w:rPr>
            </w:pPr>
            <w:r>
              <w:rPr>
                <w:rFonts w:hint="eastAsia" w:ascii="仿宋" w:hAnsi="仿宋" w:eastAsia="仿宋" w:cs="仿宋"/>
                <w:sz w:val="24"/>
                <w:highlight w:val="none"/>
              </w:rPr>
              <w:t>采购代理服务费按照《招标代理服务收费管理暂行办法》（计价格[2002]1980号）（含税）向成交供应商收取。</w:t>
            </w:r>
          </w:p>
        </w:tc>
      </w:tr>
      <w:tr w14:paraId="36BF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8" w:type="pct"/>
            <w:vAlign w:val="center"/>
          </w:tcPr>
          <w:p w14:paraId="271DFC7B">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11</w:t>
            </w:r>
          </w:p>
        </w:tc>
        <w:tc>
          <w:tcPr>
            <w:tcW w:w="522" w:type="pct"/>
            <w:vAlign w:val="center"/>
          </w:tcPr>
          <w:p w14:paraId="21E7162C">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38.1</w:t>
            </w:r>
          </w:p>
        </w:tc>
        <w:tc>
          <w:tcPr>
            <w:tcW w:w="3958" w:type="pct"/>
            <w:vAlign w:val="center"/>
          </w:tcPr>
          <w:p w14:paraId="3573CD18">
            <w:pPr>
              <w:spacing w:line="360" w:lineRule="auto"/>
              <w:rPr>
                <w:rFonts w:hint="eastAsia" w:ascii="仿宋" w:hAnsi="仿宋" w:eastAsia="仿宋" w:cs="仿宋"/>
                <w:b/>
                <w:color w:val="FF0000"/>
                <w:sz w:val="24"/>
                <w:highlight w:val="none"/>
              </w:rPr>
            </w:pPr>
            <w:r>
              <w:rPr>
                <w:rFonts w:hint="eastAsia" w:ascii="仿宋" w:hAnsi="仿宋" w:eastAsia="仿宋" w:cs="仿宋"/>
                <w:b/>
                <w:sz w:val="24"/>
                <w:highlight w:val="none"/>
              </w:rPr>
              <w:t>履约保证金金额：</w:t>
            </w:r>
            <w:r>
              <w:rPr>
                <w:rFonts w:hint="eastAsia" w:ascii="仿宋" w:hAnsi="仿宋" w:eastAsia="仿宋" w:cs="仿宋"/>
                <w:b/>
                <w:color w:val="FF0000"/>
                <w:sz w:val="24"/>
                <w:highlight w:val="none"/>
              </w:rPr>
              <w:t>合同总价的 5 %</w:t>
            </w:r>
          </w:p>
          <w:p w14:paraId="395E9CE0">
            <w:pPr>
              <w:spacing w:line="360" w:lineRule="auto"/>
              <w:rPr>
                <w:rFonts w:hint="eastAsia" w:ascii="仿宋" w:hAnsi="仿宋" w:eastAsia="仿宋" w:cs="仿宋"/>
                <w:bCs/>
                <w:sz w:val="24"/>
                <w:highlight w:val="none"/>
              </w:rPr>
            </w:pPr>
            <w:r>
              <w:rPr>
                <w:rFonts w:hint="eastAsia" w:ascii="仿宋" w:hAnsi="仿宋" w:eastAsia="仿宋" w:cs="仿宋"/>
                <w:bCs/>
                <w:sz w:val="24"/>
                <w:highlight w:val="none"/>
              </w:rPr>
              <w:t>本项目履约保证金应当以支票、汇票、本票或者金融机构、担保机构出具的保函等非现金形式提交。</w:t>
            </w:r>
          </w:p>
          <w:p w14:paraId="4FDBE7C8">
            <w:pPr>
              <w:spacing w:line="360" w:lineRule="auto"/>
              <w:rPr>
                <w:rFonts w:hint="eastAsia" w:ascii="仿宋" w:hAnsi="仿宋" w:eastAsia="仿宋" w:cs="仿宋"/>
                <w:bCs/>
                <w:sz w:val="24"/>
                <w:highlight w:val="none"/>
              </w:rPr>
            </w:pPr>
            <w:r>
              <w:rPr>
                <w:rFonts w:hint="eastAsia" w:ascii="仿宋" w:hAnsi="仿宋" w:eastAsia="仿宋" w:cs="仿宋"/>
                <w:bCs/>
                <w:sz w:val="24"/>
                <w:highlight w:val="none"/>
              </w:rPr>
              <w:t>履约保证金的退还：在本项目</w:t>
            </w:r>
            <w:r>
              <w:rPr>
                <w:rFonts w:hint="eastAsia" w:ascii="仿宋" w:hAnsi="仿宋" w:eastAsia="仿宋" w:cs="仿宋"/>
                <w:bCs/>
                <w:sz w:val="24"/>
                <w:highlight w:val="none"/>
                <w:lang w:val="en-US" w:eastAsia="zh-CN"/>
              </w:rPr>
              <w:t>验收合格</w:t>
            </w:r>
            <w:r>
              <w:rPr>
                <w:rFonts w:hint="eastAsia" w:ascii="仿宋" w:hAnsi="仿宋" w:eastAsia="仿宋" w:cs="仿宋"/>
                <w:bCs/>
                <w:sz w:val="24"/>
                <w:highlight w:val="none"/>
              </w:rPr>
              <w:t>后一次性退还。</w:t>
            </w:r>
          </w:p>
          <w:p w14:paraId="3F47F8D1">
            <w:pPr>
              <w:spacing w:line="360" w:lineRule="auto"/>
              <w:rPr>
                <w:rFonts w:hint="eastAsia" w:ascii="仿宋" w:hAnsi="仿宋" w:eastAsia="仿宋" w:cs="仿宋"/>
                <w:bCs/>
                <w:sz w:val="24"/>
                <w:highlight w:val="none"/>
              </w:rPr>
            </w:pPr>
            <w:r>
              <w:rPr>
                <w:rFonts w:hint="eastAsia" w:ascii="仿宋" w:hAnsi="仿宋" w:eastAsia="仿宋" w:cs="仿宋"/>
                <w:bCs/>
                <w:sz w:val="24"/>
                <w:highlight w:val="none"/>
              </w:rPr>
              <w:t>履约保证金不予退还情形：签订合同后，如成交人不按双方签订的合同规定履约，则不予退还全部履约保证金，履约保证金不足以赔偿损失的，按实际损失赔偿；</w:t>
            </w:r>
          </w:p>
          <w:p w14:paraId="0B1B96BE">
            <w:pPr>
              <w:spacing w:line="360" w:lineRule="auto"/>
              <w:rPr>
                <w:rFonts w:hint="eastAsia" w:ascii="仿宋" w:hAnsi="仿宋" w:eastAsia="仿宋" w:cs="仿宋"/>
                <w:sz w:val="24"/>
                <w:highlight w:val="none"/>
              </w:rPr>
            </w:pPr>
            <w:r>
              <w:rPr>
                <w:rFonts w:hint="eastAsia" w:ascii="仿宋" w:hAnsi="仿宋" w:eastAsia="仿宋" w:cs="仿宋"/>
                <w:bCs/>
                <w:sz w:val="24"/>
                <w:highlight w:val="none"/>
              </w:rPr>
              <w:t>逾期退还履约保证金违约责任：采购人逾期退还履约保证金的，应按银行同期存款利率支付逾期利息，但因成交人原因造成除外。</w:t>
            </w:r>
          </w:p>
        </w:tc>
      </w:tr>
      <w:tr w14:paraId="5F9A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3" w:type="dxa"/>
            <w:vAlign w:val="center"/>
          </w:tcPr>
          <w:p w14:paraId="381433E2">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12</w:t>
            </w:r>
          </w:p>
        </w:tc>
        <w:tc>
          <w:tcPr>
            <w:tcW w:w="890" w:type="dxa"/>
            <w:vAlign w:val="center"/>
          </w:tcPr>
          <w:p w14:paraId="52B9F2D4">
            <w:pPr>
              <w:spacing w:line="360" w:lineRule="auto"/>
              <w:jc w:val="center"/>
              <w:rPr>
                <w:rFonts w:hint="eastAsia" w:ascii="仿宋" w:hAnsi="仿宋" w:eastAsia="仿宋" w:cs="仿宋"/>
                <w:sz w:val="24"/>
                <w:highlight w:val="none"/>
              </w:rPr>
            </w:pPr>
            <w:r>
              <w:rPr>
                <w:rFonts w:hint="eastAsia" w:ascii="仿宋" w:hAnsi="仿宋" w:eastAsia="仿宋" w:cs="仿宋"/>
                <w:b/>
                <w:bCs/>
                <w:sz w:val="24"/>
                <w:highlight w:val="none"/>
              </w:rPr>
              <w:t>本国产品政策</w:t>
            </w:r>
          </w:p>
        </w:tc>
        <w:tc>
          <w:tcPr>
            <w:tcW w:w="6746" w:type="dxa"/>
            <w:vAlign w:val="center"/>
          </w:tcPr>
          <w:p w14:paraId="6C62437B">
            <w:pPr>
              <w:spacing w:line="360" w:lineRule="auto"/>
              <w:jc w:val="left"/>
              <w:rPr>
                <w:rFonts w:hint="eastAsia" w:ascii="仿宋" w:hAnsi="仿宋" w:eastAsia="仿宋" w:cs="仿宋"/>
                <w:sz w:val="24"/>
                <w:highlight w:val="none"/>
              </w:rPr>
            </w:pPr>
            <w:r>
              <w:rPr>
                <w:rFonts w:hint="eastAsia" w:ascii="仿宋" w:hAnsi="仿宋" w:eastAsia="仿宋" w:cs="仿宋"/>
                <w:sz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A052115">
            <w:pPr>
              <w:spacing w:line="360" w:lineRule="auto"/>
              <w:jc w:val="left"/>
              <w:rPr>
                <w:rFonts w:hint="eastAsia" w:ascii="仿宋" w:hAnsi="仿宋" w:eastAsia="仿宋" w:cs="仿宋"/>
                <w:sz w:val="24"/>
                <w:highlight w:val="none"/>
              </w:rPr>
            </w:pPr>
            <w:r>
              <w:rPr>
                <w:rFonts w:hint="eastAsia" w:ascii="仿宋" w:hAnsi="仿宋" w:eastAsia="仿宋" w:cs="仿宋"/>
                <w:sz w:val="24"/>
                <w:highlight w:val="none"/>
              </w:rPr>
              <w:t>单一产品采购包。既有本国产品又有非本国产品参与竞争的，依法对本国产品给予价格评审优惠，对本国产品的报价给予20%的价格扣除，用扣除后的价格参与评审。（证明材料提供《关于符合本国产品标准的声明函》或财政部会同有关部门规定的有关证明文件（如有），格式详见第四章。）</w:t>
            </w:r>
          </w:p>
          <w:p w14:paraId="3B18FA17">
            <w:pPr>
              <w:spacing w:line="360" w:lineRule="auto"/>
              <w:jc w:val="left"/>
              <w:rPr>
                <w:rFonts w:hint="eastAsia" w:ascii="仿宋" w:hAnsi="仿宋" w:eastAsia="仿宋" w:cs="仿宋"/>
                <w:sz w:val="24"/>
                <w:highlight w:val="none"/>
              </w:rPr>
            </w:pPr>
            <w:r>
              <w:rPr>
                <w:rFonts w:hint="eastAsia" w:ascii="仿宋" w:hAnsi="仿宋" w:eastAsia="仿宋" w:cs="仿宋"/>
                <w:sz w:val="24"/>
                <w:highlight w:val="none"/>
              </w:rPr>
              <w:t>多产品采购包。响应人为本采购项目或者采购包提供的符合本国产品标准的产品成本之和占该响应人提供的全部产品成本之和的比例达到80%以上时，依法对该响应人提供的全部产品给予价格评审优惠，即对该响应人提供的全部产品的总报价给予20%的价格扣除，用扣除后的价格参与评审，未达到80%的，不享受价格评审优惠。（证明材料提供《关于符合本国产品标准的声明函》或财政部会同有关部门规定的有关证明文件（如有）、《关于符合本国产品标准的成本占比承诺函》，格式详见第四章）</w:t>
            </w:r>
          </w:p>
          <w:p w14:paraId="7677EF18">
            <w:pPr>
              <w:spacing w:line="360" w:lineRule="auto"/>
              <w:jc w:val="left"/>
              <w:rPr>
                <w:rFonts w:hint="eastAsia" w:ascii="仿宋" w:hAnsi="仿宋" w:eastAsia="仿宋" w:cs="仿宋"/>
                <w:sz w:val="24"/>
                <w:highlight w:val="none"/>
              </w:rPr>
            </w:pPr>
            <w:r>
              <w:rPr>
                <w:rFonts w:hint="eastAsia" w:ascii="仿宋" w:hAnsi="仿宋" w:eastAsia="仿宋" w:cs="仿宋"/>
                <w:b/>
                <w:bCs/>
                <w:color w:val="FF0000"/>
                <w:sz w:val="24"/>
                <w:highlight w:val="none"/>
              </w:rPr>
              <w:t>★未提供《关于符合本国产品标准的声明函》或财政部会同有关部门规定的有关证明文件（如有），一律视为非本国产品！！！</w:t>
            </w:r>
          </w:p>
          <w:p w14:paraId="3C43E8C0">
            <w:pPr>
              <w:spacing w:line="360" w:lineRule="auto"/>
              <w:jc w:val="left"/>
              <w:rPr>
                <w:rFonts w:hint="eastAsia" w:ascii="仿宋" w:hAnsi="仿宋" w:eastAsia="仿宋" w:cs="仿宋"/>
                <w:b/>
                <w:bCs/>
                <w:sz w:val="24"/>
                <w:highlight w:val="none"/>
              </w:rPr>
            </w:pPr>
            <w:r>
              <w:rPr>
                <w:rFonts w:hint="eastAsia" w:ascii="仿宋" w:hAnsi="仿宋" w:eastAsia="仿宋" w:cs="仿宋"/>
                <w:sz w:val="24"/>
                <w:highlight w:val="none"/>
              </w:rPr>
              <w:t>证明材料未提供、提供不完整、不足以证明或不符合要求的，不享受相应政策。</w:t>
            </w:r>
          </w:p>
        </w:tc>
      </w:tr>
    </w:tbl>
    <w:p w14:paraId="0BEB39D2">
      <w:pPr>
        <w:rPr>
          <w:rFonts w:hint="eastAsia" w:ascii="仿宋" w:hAnsi="仿宋" w:eastAsia="仿宋" w:cs="仿宋"/>
          <w:b/>
          <w:bCs/>
          <w:sz w:val="24"/>
          <w:highlight w:val="none"/>
        </w:rPr>
      </w:pPr>
      <w:r>
        <w:rPr>
          <w:rFonts w:hint="eastAsia" w:ascii="仿宋" w:hAnsi="仿宋" w:eastAsia="仿宋" w:cs="仿宋"/>
          <w:b/>
          <w:bCs/>
          <w:sz w:val="24"/>
          <w:highlight w:val="none"/>
        </w:rPr>
        <w:t>说明：本前附表内容与本表后的询价通知书内容不一致时，以本表内容为准。</w:t>
      </w:r>
    </w:p>
    <w:p w14:paraId="226C63DD">
      <w:pPr>
        <w:pStyle w:val="4"/>
        <w:rPr>
          <w:rFonts w:hint="eastAsia" w:ascii="仿宋" w:hAnsi="仿宋" w:eastAsia="仿宋" w:cs="仿宋"/>
          <w:highlight w:val="none"/>
        </w:rPr>
      </w:pPr>
      <w:bookmarkStart w:id="68" w:name="_Toc475970874"/>
      <w:bookmarkStart w:id="69" w:name="_Toc269"/>
      <w:bookmarkStart w:id="70" w:name="_Toc24684"/>
      <w:bookmarkStart w:id="71" w:name="_Toc16801"/>
      <w:bookmarkStart w:id="72" w:name="_Toc26759"/>
      <w:bookmarkStart w:id="73" w:name="_Toc14855"/>
      <w:bookmarkStart w:id="74" w:name="_Toc18321"/>
      <w:r>
        <w:rPr>
          <w:rFonts w:hint="eastAsia" w:ascii="仿宋" w:hAnsi="仿宋" w:eastAsia="仿宋" w:cs="仿宋"/>
          <w:sz w:val="28"/>
          <w:szCs w:val="28"/>
          <w:highlight w:val="none"/>
        </w:rPr>
        <w:t>二、说明</w:t>
      </w:r>
      <w:bookmarkEnd w:id="68"/>
      <w:bookmarkEnd w:id="69"/>
      <w:bookmarkEnd w:id="70"/>
      <w:bookmarkEnd w:id="71"/>
      <w:bookmarkEnd w:id="72"/>
      <w:bookmarkEnd w:id="73"/>
      <w:bookmarkEnd w:id="74"/>
    </w:p>
    <w:p w14:paraId="1D1C5F36">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1．适用范围</w:t>
      </w:r>
    </w:p>
    <w:p w14:paraId="6F8D4D2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 本询价通知书仅适用于本“询价邀请”中所述货物和有关服务的采购。</w:t>
      </w:r>
    </w:p>
    <w:p w14:paraId="43249C81">
      <w:p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2. 定义</w:t>
      </w:r>
    </w:p>
    <w:p w14:paraId="7031A7C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2.1采购人：详见“供应商须知前附表”</w:t>
      </w:r>
    </w:p>
    <w:p w14:paraId="7D3AD6B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2.2采购代理机构：江西企恒企业管理有限公司</w:t>
      </w:r>
    </w:p>
    <w:p w14:paraId="7D8CBE8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2.3供应商：是指向采购人提供“询价邀请”中采购内容的法人、其它组织或者自然人。</w:t>
      </w:r>
    </w:p>
    <w:p w14:paraId="044E8768">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3. 合格供应商</w:t>
      </w:r>
    </w:p>
    <w:p w14:paraId="35EB73A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3.1供应商的资格条件： 详见“询价邀请”</w:t>
      </w:r>
    </w:p>
    <w:p w14:paraId="0021AB4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3.2单位负责人为同一人或者存在直接控股、管理关系的不同供应商，不得参加同一合同项下的采购活动。</w:t>
      </w:r>
    </w:p>
    <w:p w14:paraId="0F6534E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3.3为采购项目提供整体设计、规范编制或者项目管理、监理、检测等服务的供应商不得参加该采购项目的采购活动。</w:t>
      </w:r>
    </w:p>
    <w:p w14:paraId="2DE6FBA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3.4提供相同制造商产品的不同供应商参加询价的认定</w:t>
      </w:r>
    </w:p>
    <w:p w14:paraId="6B961A3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3.4.1提供相同制造商产品的不同供应商参加本项目询价的，以其中通过资格性审查、符合性审查且报价最低的参加评审。报价相同的，由询价小组随机抽取一个参加评审的供应商，其他响应文件无效。</w:t>
      </w:r>
    </w:p>
    <w:p w14:paraId="0E356626">
      <w:pPr>
        <w:spacing w:line="360" w:lineRule="auto"/>
        <w:ind w:firstLine="482" w:firstLineChars="200"/>
        <w:rPr>
          <w:rFonts w:hint="eastAsia" w:ascii="仿宋" w:hAnsi="仿宋" w:eastAsia="仿宋" w:cs="仿宋"/>
          <w:sz w:val="24"/>
          <w:highlight w:val="none"/>
          <w:lang w:eastAsia="zh-CN"/>
        </w:rPr>
      </w:pPr>
      <w:r>
        <w:rPr>
          <w:rFonts w:hint="eastAsia" w:ascii="仿宋" w:hAnsi="仿宋" w:eastAsia="仿宋" w:cs="仿宋"/>
          <w:b/>
          <w:bCs/>
          <w:sz w:val="24"/>
          <w:highlight w:val="none"/>
        </w:rPr>
        <w:t>非单一产品采购项目中，多家供应商提供的全部核心产品均为相同制造商产品的，视为提供相同制造商产品。核心产品为：</w:t>
      </w:r>
      <w:r>
        <w:rPr>
          <w:rFonts w:hint="eastAsia" w:ascii="仿宋" w:hAnsi="仿宋" w:eastAsia="仿宋" w:cs="仿宋"/>
          <w:b/>
          <w:bCs/>
          <w:color w:val="FF0000"/>
          <w:sz w:val="24"/>
          <w:highlight w:val="none"/>
        </w:rPr>
        <w:t>多元数字仿真教学平台</w:t>
      </w:r>
      <w:r>
        <w:rPr>
          <w:rFonts w:hint="eastAsia" w:ascii="仿宋" w:hAnsi="仿宋" w:eastAsia="仿宋" w:cs="仿宋"/>
          <w:b/>
          <w:bCs/>
          <w:color w:val="FF0000"/>
          <w:sz w:val="24"/>
          <w:highlight w:val="none"/>
          <w:lang w:eastAsia="zh-CN"/>
        </w:rPr>
        <w:t>、教学管理实训系统</w:t>
      </w:r>
    </w:p>
    <w:p w14:paraId="1A8B9768">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3.5 联合体询价</w:t>
      </w:r>
    </w:p>
    <w:p w14:paraId="2CE808A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3.5.1本项目不接受联合体参加询价。</w:t>
      </w:r>
    </w:p>
    <w:p w14:paraId="56AC973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 询价费用</w:t>
      </w:r>
    </w:p>
    <w:p w14:paraId="1AD81FF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4.1不论询价的结果如何，供应商应自行承担所有与准备和参加询价有关的全部费用。采购代理机构和采购人在任何情况下均无义务和责任承担这些费用。</w:t>
      </w:r>
    </w:p>
    <w:p w14:paraId="148FA153">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5. 供应商代表</w:t>
      </w:r>
    </w:p>
    <w:p w14:paraId="622E164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5.1指全权代表供应商参加询价活动并签署响应文件的人。如果供应商代表不是法人代表（或经营者），须持有《法人代表（或经营者）授权书》（格式详见“第四章附件12”）。若供应商为自然人，须自然人本人持身份证原件参与询价活动，询价通知书关于授权参与询价活动的均不适用。</w:t>
      </w:r>
    </w:p>
    <w:p w14:paraId="0804E6BE">
      <w:pPr>
        <w:pStyle w:val="4"/>
        <w:rPr>
          <w:rFonts w:hint="eastAsia" w:ascii="仿宋" w:hAnsi="仿宋" w:eastAsia="仿宋" w:cs="仿宋"/>
          <w:szCs w:val="24"/>
          <w:highlight w:val="none"/>
        </w:rPr>
      </w:pPr>
      <w:bookmarkStart w:id="75" w:name="_Toc31254"/>
      <w:bookmarkStart w:id="76" w:name="_Toc475970875"/>
      <w:bookmarkStart w:id="77" w:name="_Toc287002506"/>
      <w:bookmarkStart w:id="78" w:name="_Toc31410"/>
      <w:bookmarkStart w:id="79" w:name="_Toc16971"/>
      <w:bookmarkStart w:id="80" w:name="_Toc28986"/>
      <w:bookmarkStart w:id="81" w:name="_Toc28927"/>
      <w:bookmarkStart w:id="82" w:name="_Toc32548"/>
      <w:r>
        <w:rPr>
          <w:rFonts w:hint="eastAsia" w:ascii="仿宋" w:hAnsi="仿宋" w:eastAsia="仿宋" w:cs="仿宋"/>
          <w:sz w:val="28"/>
          <w:szCs w:val="28"/>
          <w:highlight w:val="none"/>
        </w:rPr>
        <w:t>三、</w:t>
      </w:r>
      <w:bookmarkEnd w:id="75"/>
      <w:bookmarkEnd w:id="76"/>
      <w:bookmarkEnd w:id="77"/>
      <w:bookmarkEnd w:id="78"/>
      <w:r>
        <w:rPr>
          <w:rFonts w:hint="eastAsia" w:ascii="仿宋" w:hAnsi="仿宋" w:eastAsia="仿宋" w:cs="仿宋"/>
          <w:sz w:val="28"/>
          <w:szCs w:val="28"/>
          <w:highlight w:val="none"/>
        </w:rPr>
        <w:t>询价通知书</w:t>
      </w:r>
      <w:bookmarkEnd w:id="79"/>
      <w:bookmarkEnd w:id="80"/>
      <w:bookmarkEnd w:id="81"/>
      <w:bookmarkEnd w:id="82"/>
    </w:p>
    <w:p w14:paraId="429072ED">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6. 询价通知书的构成</w:t>
      </w:r>
    </w:p>
    <w:p w14:paraId="4CE83A0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6.1 要求提供的货物、询价过程和合同条款在询价通知书中均有说明。询价通知书共五章，各章的内容如下：</w:t>
      </w:r>
    </w:p>
    <w:p w14:paraId="111B6D6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第一章  询价邀请</w:t>
      </w:r>
    </w:p>
    <w:p w14:paraId="5365D66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第二章  供应商须知</w:t>
      </w:r>
    </w:p>
    <w:p w14:paraId="7BE5BD3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第三章  拟签订的合同文本</w:t>
      </w:r>
    </w:p>
    <w:p w14:paraId="7768EB1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第四章  附件（响应文件参考格式）</w:t>
      </w:r>
    </w:p>
    <w:p w14:paraId="65105A0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第五章  采购需求一览表及采购要求</w:t>
      </w:r>
    </w:p>
    <w:p w14:paraId="2A2E091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6.2 除非有特殊要求，询价通知书不单独提供询价货物使用地的自然环境、气候条件、公用设施等情况，供应商被视为熟悉上述与履行合同有关的一切情况。</w:t>
      </w:r>
    </w:p>
    <w:p w14:paraId="439C74CB">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7. 询价通知书的询问</w:t>
      </w:r>
    </w:p>
    <w:p w14:paraId="5C69CF3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 xml:space="preserve">已购买询价通知书的供应商认为询价通知书的内容使自己的合法权益受到损害或有疑问的，可以在规定的时间内向采购人或采购代理机构提出书面询问，采购代理机构在3个工作日内对供应商依法提出的询问作出答复。 </w:t>
      </w:r>
    </w:p>
    <w:p w14:paraId="235AE23D">
      <w:p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8. 询价通知书的澄清和修改</w:t>
      </w:r>
    </w:p>
    <w:p w14:paraId="1318E3C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8.1 提交响应文件截止时间前的任何时候，采购代理机构可以对已发出的询价通知书进行必要的澄清或者修改，澄清或者修改的内容作为询价通知书的组成部分，并对供应商具有约束力。</w:t>
      </w:r>
    </w:p>
    <w:p w14:paraId="61B3B62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8.2澄清或者修改的内容可能影响响应文件编制的，采购代理机构应当在提交首次响应文件截止之日3个工作日前，在吉安职业技术学院官网及江西省招标投标网公告发布更正公告，不足3个工作日的，应当顺延提交首次响应文件截止之日</w:t>
      </w:r>
    </w:p>
    <w:p w14:paraId="31FF697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8.3 更正公告一经发布，视为潜在供应商已知悉。</w:t>
      </w:r>
    </w:p>
    <w:p w14:paraId="7CA9E2AC">
      <w:pPr>
        <w:pStyle w:val="4"/>
        <w:rPr>
          <w:rFonts w:hint="eastAsia" w:ascii="仿宋" w:hAnsi="仿宋" w:eastAsia="仿宋" w:cs="仿宋"/>
          <w:szCs w:val="24"/>
          <w:highlight w:val="none"/>
        </w:rPr>
      </w:pPr>
      <w:bookmarkStart w:id="83" w:name="_Toc475970876"/>
      <w:bookmarkStart w:id="84" w:name="_Toc386209615"/>
      <w:bookmarkStart w:id="85" w:name="_Toc25750"/>
      <w:bookmarkStart w:id="86" w:name="_Toc17963"/>
      <w:bookmarkStart w:id="87" w:name="_Toc12431"/>
      <w:bookmarkStart w:id="88" w:name="_Toc10843"/>
      <w:bookmarkStart w:id="89" w:name="_Toc15428"/>
      <w:bookmarkStart w:id="90" w:name="_Toc29048"/>
      <w:r>
        <w:rPr>
          <w:rFonts w:hint="eastAsia" w:ascii="仿宋" w:hAnsi="仿宋" w:eastAsia="仿宋" w:cs="仿宋"/>
          <w:sz w:val="28"/>
          <w:szCs w:val="28"/>
          <w:highlight w:val="none"/>
        </w:rPr>
        <w:t>四、响应文件的编制</w:t>
      </w:r>
      <w:bookmarkEnd w:id="83"/>
      <w:bookmarkEnd w:id="84"/>
      <w:bookmarkEnd w:id="85"/>
      <w:bookmarkEnd w:id="86"/>
      <w:bookmarkEnd w:id="87"/>
      <w:bookmarkEnd w:id="88"/>
      <w:bookmarkEnd w:id="89"/>
      <w:bookmarkEnd w:id="90"/>
    </w:p>
    <w:p w14:paraId="11226777">
      <w:pPr>
        <w:spacing w:line="360" w:lineRule="auto"/>
        <w:ind w:firstLine="482" w:firstLineChars="200"/>
        <w:rPr>
          <w:rFonts w:hint="eastAsia" w:ascii="仿宋" w:hAnsi="仿宋" w:eastAsia="仿宋" w:cs="仿宋"/>
          <w:b/>
          <w:bCs/>
          <w:sz w:val="24"/>
          <w:highlight w:val="none"/>
        </w:rPr>
      </w:pPr>
      <w:bookmarkStart w:id="91" w:name="_Toc262628452"/>
      <w:r>
        <w:rPr>
          <w:rFonts w:hint="eastAsia" w:ascii="仿宋" w:hAnsi="仿宋" w:eastAsia="仿宋" w:cs="仿宋"/>
          <w:b/>
          <w:bCs/>
          <w:sz w:val="24"/>
          <w:highlight w:val="none"/>
        </w:rPr>
        <w:t>9. 提示</w:t>
      </w:r>
      <w:bookmarkEnd w:id="91"/>
    </w:p>
    <w:p w14:paraId="2DA3DE1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9.1询价通知书中未注明进口产品的，均为国产产品，并且不允许提供进口产品参加询价。提供进口产品参加询价，响应文件</w:t>
      </w:r>
      <w:r>
        <w:rPr>
          <w:rFonts w:hint="eastAsia" w:ascii="仿宋" w:hAnsi="仿宋" w:eastAsia="仿宋" w:cs="仿宋"/>
          <w:b/>
          <w:bCs/>
          <w:sz w:val="24"/>
          <w:highlight w:val="none"/>
        </w:rPr>
        <w:t>被视为无效。</w:t>
      </w:r>
    </w:p>
    <w:p w14:paraId="1610CBF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9.2 询价通知书中注明进口产品的，有符合条件的国产产品可以参与采购活动。</w:t>
      </w:r>
    </w:p>
    <w:p w14:paraId="76A40BD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9.3供应商应认真阅读询价通知书的全部内容，按照询价通知书的要求提供响应文件和资料。</w:t>
      </w:r>
    </w:p>
    <w:p w14:paraId="34D5171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9.4 供应商提交的响应文件以及供应商与采购代理机构所有来往书面文件均须使用中文。响应文件中如附有外文资料，必须逐一对应翻译成中文。</w:t>
      </w:r>
    </w:p>
    <w:p w14:paraId="22E7595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9.5 翻译的中文资料与外文资料如果出现差异和矛盾时，以中文为准。</w:t>
      </w:r>
    </w:p>
    <w:p w14:paraId="00B3039A">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10. 响应文件计量单位</w:t>
      </w:r>
      <w:r>
        <w:rPr>
          <w:rFonts w:hint="eastAsia" w:ascii="仿宋" w:hAnsi="仿宋" w:eastAsia="仿宋" w:cs="仿宋"/>
          <w:sz w:val="24"/>
          <w:highlight w:val="none"/>
        </w:rPr>
        <w:tab/>
      </w:r>
    </w:p>
    <w:p w14:paraId="6E6237D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响应文件中所使用的计量单位, 除询价通知书中有特殊要求外，应采用国家法定计量单位。</w:t>
      </w:r>
    </w:p>
    <w:p w14:paraId="7F395BD2">
      <w:p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11. 响应文件的构成</w:t>
      </w:r>
    </w:p>
    <w:p w14:paraId="2F0B933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11.1响应文件应由下列部分构成：</w:t>
      </w:r>
    </w:p>
    <w:p w14:paraId="70DFDFC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 询价响应书</w:t>
      </w:r>
    </w:p>
    <w:p w14:paraId="7FFD561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 报价表</w:t>
      </w:r>
    </w:p>
    <w:p w14:paraId="13AEE6E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 分项报价表</w:t>
      </w:r>
    </w:p>
    <w:p w14:paraId="7B773D79">
      <w:pPr>
        <w:spacing w:line="360" w:lineRule="auto"/>
        <w:ind w:firstLine="480" w:firstLineChars="200"/>
        <w:rPr>
          <w:rFonts w:hint="eastAsia" w:ascii="仿宋" w:hAnsi="仿宋" w:eastAsia="仿宋" w:cs="仿宋"/>
          <w:sz w:val="24"/>
          <w:highlight w:val="none"/>
          <w:lang w:eastAsia="zh-CN"/>
        </w:rPr>
      </w:pPr>
      <w:r>
        <w:rPr>
          <w:rFonts w:hint="eastAsia" w:ascii="仿宋" w:hAnsi="仿宋" w:eastAsia="仿宋" w:cs="仿宋"/>
          <w:sz w:val="24"/>
          <w:highlight w:val="none"/>
        </w:rPr>
        <w:t xml:space="preserve">(4) </w:t>
      </w:r>
      <w:r>
        <w:rPr>
          <w:rFonts w:hint="eastAsia" w:ascii="仿宋" w:hAnsi="仿宋" w:eastAsia="仿宋" w:cs="仿宋"/>
          <w:sz w:val="24"/>
          <w:highlight w:val="none"/>
          <w:lang w:eastAsia="zh-CN"/>
        </w:rPr>
        <w:t>采购清单及技术需求响应承诺函</w:t>
      </w:r>
    </w:p>
    <w:p w14:paraId="016DB474">
      <w:pPr>
        <w:spacing w:line="360" w:lineRule="auto"/>
        <w:ind w:firstLine="480" w:firstLineChars="200"/>
        <w:rPr>
          <w:rFonts w:hint="eastAsia" w:ascii="仿宋" w:hAnsi="仿宋" w:eastAsia="仿宋" w:cs="仿宋"/>
          <w:sz w:val="24"/>
          <w:highlight w:val="none"/>
          <w:lang w:eastAsia="zh-CN"/>
        </w:rPr>
      </w:pPr>
      <w:r>
        <w:rPr>
          <w:rFonts w:hint="eastAsia" w:ascii="仿宋" w:hAnsi="仿宋" w:eastAsia="仿宋" w:cs="仿宋"/>
          <w:sz w:val="24"/>
          <w:highlight w:val="none"/>
        </w:rPr>
        <w:t xml:space="preserve">(5) </w:t>
      </w:r>
      <w:r>
        <w:rPr>
          <w:rFonts w:hint="eastAsia" w:ascii="仿宋" w:hAnsi="仿宋" w:eastAsia="仿宋" w:cs="仿宋"/>
          <w:sz w:val="24"/>
          <w:highlight w:val="none"/>
          <w:lang w:eastAsia="zh-CN"/>
        </w:rPr>
        <w:t>商务条款响应承诺函</w:t>
      </w:r>
    </w:p>
    <w:p w14:paraId="5F850B0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(6) 供应商情况一览表</w:t>
      </w:r>
    </w:p>
    <w:p w14:paraId="0AE77B4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(7) 中小企业声明（不符合小型、微型企业条件或不属于监狱企业的不需提供）</w:t>
      </w:r>
    </w:p>
    <w:p w14:paraId="7E3A742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(8) 企业所在地的县级以上中小企业主管部门出具的中、小、微企业认定有效证明或省级以上监狱管理局、戒毒管理局（含新疆生产建设兵团）出具的属于监狱企业证明文件（不符合小型、微型企业条件或不属于监狱企业的不需提供）</w:t>
      </w:r>
    </w:p>
    <w:p w14:paraId="19AA287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(9)残疾人福利性单位声明函</w:t>
      </w:r>
    </w:p>
    <w:p w14:paraId="37A5190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(10) 技术文件</w:t>
      </w:r>
    </w:p>
    <w:p w14:paraId="6C278DC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 资格证明文件</w:t>
      </w:r>
    </w:p>
    <w:p w14:paraId="704CCBE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 询价保证金</w:t>
      </w:r>
    </w:p>
    <w:p w14:paraId="47D37A1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11.2供应商应将响应文件胶装成册，并编写目录。</w:t>
      </w:r>
    </w:p>
    <w:p w14:paraId="64DBFC60">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12.落实的政府采购政策</w:t>
      </w:r>
    </w:p>
    <w:p w14:paraId="0039048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12.1 中、小、微企业，监狱企业或残疾人单位参加询价</w:t>
      </w:r>
    </w:p>
    <w:p w14:paraId="0C9231B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12.1.1中小企业（含中型、小型、微型企业，下同）应当符合以下条件：</w:t>
      </w:r>
    </w:p>
    <w:p w14:paraId="4908B46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（1）在货物采购项目中，货物由中小企业制造，即货物由中小企业生产且使用该中小企业商号或者注册商标；</w:t>
      </w:r>
    </w:p>
    <w:p w14:paraId="3921041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（2）在工程采购项目中，工程由中小企业承建，即工程施工单位为中小企业；</w:t>
      </w:r>
    </w:p>
    <w:p w14:paraId="3D3894E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（3）在服务采购项目中，服务由中小企业承接，即提供服务的人员为中小企业依照《中华人民共和国劳动合同法》订立劳动合同的从业人员。</w:t>
      </w:r>
    </w:p>
    <w:p w14:paraId="001335F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12.1.2在货物采购项目中，供应商提供的货物既有中小企业制造货物，也有大型企业制造货物的，不享受中小企业扶持政策。</w:t>
      </w:r>
    </w:p>
    <w:p w14:paraId="31CACA1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12.1.3中小企业参加询价时，必须提供《中小企业声明函》（格式详见“第四章附件 7”）。对于中小企业依照规定提交《中小企业声明函》的，不需再提供中小企业主管部门等有关部门出具的相关证明。</w:t>
      </w:r>
    </w:p>
    <w:p w14:paraId="0F14095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12.1.4对小型和微型企业产品的价格给予</w:t>
      </w:r>
      <w:r>
        <w:rPr>
          <w:rFonts w:hint="eastAsia" w:ascii="仿宋" w:hAnsi="仿宋" w:eastAsia="仿宋" w:cs="仿宋"/>
          <w:b/>
          <w:bCs/>
          <w:sz w:val="24"/>
          <w:highlight w:val="none"/>
        </w:rPr>
        <w:t>10%</w:t>
      </w:r>
      <w:r>
        <w:rPr>
          <w:rFonts w:hint="eastAsia" w:ascii="仿宋" w:hAnsi="仿宋" w:eastAsia="仿宋" w:cs="仿宋"/>
          <w:sz w:val="24"/>
          <w:highlight w:val="none"/>
        </w:rPr>
        <w:t>的扣除，用扣除后的价格参与评审。</w:t>
      </w:r>
    </w:p>
    <w:p w14:paraId="6ACCF78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12.1.5监狱企业参加政府采购项目询价时，必须提供省级以上监狱管理局、戒毒管理局（含新疆生产建设兵团）出具的属于监狱企业证明文件。</w:t>
      </w:r>
    </w:p>
    <w:p w14:paraId="703A788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12.1.6监狱企业视同小型、微型企业，享受评审中价格扣除等政府促进中小企业发展的政府采购政策。</w:t>
      </w:r>
    </w:p>
    <w:p w14:paraId="3DCDFD1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12.1.7享受政府采购支持政策的残疾人福利性单位应当同时满足以下条件：</w:t>
      </w:r>
    </w:p>
    <w:p w14:paraId="7B7F373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（1）安置的残疾人占本单位在职职工人数的比例不低于25%（含25%），并且安置的残疾人人数不少于10人（含10人）；</w:t>
      </w:r>
    </w:p>
    <w:p w14:paraId="726E3CD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（2）依法与安置的每位残疾人签订了一年以上（含一年）的劳动合同或服务协议；</w:t>
      </w:r>
    </w:p>
    <w:p w14:paraId="3EDDE98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（3）为安置的每位残疾人按月足额缴纳了基本养老保险、基本医疗保险、失业保险、工伤保险和生育保险等社会保险费；</w:t>
      </w:r>
    </w:p>
    <w:p w14:paraId="143EAE8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（4）通过银行等金融机构向安置的每位残疾人，按月支付了不低于单位所在区县适用的经省级人民政府批准的月最低工资标准的工资；</w:t>
      </w:r>
    </w:p>
    <w:p w14:paraId="7FF5E57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（5）提供本单位制造的货物、承担的工程或者服务（以下简称产品），或者提供其他残疾人福利性单位制造的货物（不包括使用非残疾人福利性单位注册商标的货物）。</w:t>
      </w:r>
    </w:p>
    <w:p w14:paraId="4288578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12.1.8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A8FCD2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12.1.9残疾人福利性单位参加询价须提供的证明材料：</w:t>
      </w:r>
    </w:p>
    <w:p w14:paraId="1FEC71B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符合条件的残疾人福利性单位在参加政府采购活动时，应当提供《残疾人福利性单位声明函》（格式详见“第四章响应文件参考格式9），并对声明函的真实性负责。（2）供应商提供的《残疾人福利性单位声明函》与事实不符的，依照《政府采购法》第七十七条第一款的规定追究法律责任。</w:t>
      </w:r>
    </w:p>
    <w:p w14:paraId="4EA69CB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12.1.10残疾人福利性单位视同小型、微型企业，享受评审中价格扣除等政府促进中小企业发展的政府采购政策。福利性单位属于小型、微型企业的，不重复享受政策。</w:t>
      </w:r>
    </w:p>
    <w:p w14:paraId="37FBA8F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12.2 节能、环境标志产品参加询价采购</w:t>
      </w:r>
    </w:p>
    <w:p w14:paraId="21DD91DA">
      <w:pPr>
        <w:spacing w:line="360" w:lineRule="auto"/>
        <w:ind w:firstLine="480" w:firstLineChars="200"/>
        <w:rPr>
          <w:rFonts w:hint="eastAsia" w:ascii="仿宋" w:hAnsi="仿宋" w:eastAsia="仿宋" w:cs="仿宋"/>
          <w:sz w:val="24"/>
          <w:highlight w:val="none"/>
        </w:rPr>
      </w:pPr>
      <w:bookmarkStart w:id="92" w:name="_Toc262628455"/>
      <w:r>
        <w:rPr>
          <w:rFonts w:hint="eastAsia" w:ascii="仿宋" w:hAnsi="仿宋" w:eastAsia="仿宋" w:cs="仿宋"/>
          <w:sz w:val="24"/>
          <w:highlight w:val="none"/>
        </w:rPr>
        <w:t>12.2.1节能产品是指列入《节能产品政府采购品目清单》的产品；</w:t>
      </w:r>
    </w:p>
    <w:p w14:paraId="3B86B42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12.2.2环境标志产品是指列入《环境标志产品政府采购品目清单》的产品；</w:t>
      </w:r>
    </w:p>
    <w:p w14:paraId="5CB85FA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12.2.3《节能产品政府采购品目清单》、《环境标志产品政府采购品目清单》以《中国政府采购网》(www.ccgp.gov.cn)发布的最新一期为准。</w:t>
      </w:r>
    </w:p>
    <w:p w14:paraId="4334AAE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12.2.4对属于《节能产品政府采购品目清单》、《环境标志产品政府采购品目清单》范围的，获得证书的产品（国家确定的认证机构出具的、处于有效期之内的节能产品、环境标志产品认证证书）给予优先或强制采购。</w:t>
      </w:r>
    </w:p>
    <w:p w14:paraId="31ECB04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12.2.5如属节能产品、环境标志产品需在响应文件中提供认证证书复印件或证书网页截图。（其中如属政府强制采购的节能产品必须提供认证证书复印件或证书网页截图，</w:t>
      </w:r>
      <w:r>
        <w:rPr>
          <w:rFonts w:hint="eastAsia" w:ascii="仿宋" w:hAnsi="仿宋" w:eastAsia="仿宋" w:cs="仿宋"/>
          <w:b/>
          <w:bCs/>
          <w:sz w:val="24"/>
          <w:highlight w:val="none"/>
        </w:rPr>
        <w:t>否则视为无效响应）</w:t>
      </w:r>
    </w:p>
    <w:p w14:paraId="7704C29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12.2.6对于同时列入政府采购《节能产品政府采购品目清单》、《环境标志产品政府采购品目清单》的产品，应当优先于只列入其中一个清单的产品。</w:t>
      </w:r>
    </w:p>
    <w:p w14:paraId="446D24B0">
      <w:pPr>
        <w:spacing w:line="460" w:lineRule="exact"/>
        <w:ind w:left="599" w:leftChars="228" w:hanging="120" w:hangingChars="50"/>
        <w:rPr>
          <w:rFonts w:hint="eastAsia" w:ascii="仿宋" w:hAnsi="仿宋" w:eastAsia="仿宋" w:cs="仿宋"/>
          <w:sz w:val="24"/>
          <w:highlight w:val="none"/>
        </w:rPr>
      </w:pPr>
      <w:r>
        <w:rPr>
          <w:rFonts w:hint="eastAsia" w:ascii="仿宋" w:hAnsi="仿宋" w:eastAsia="仿宋" w:cs="仿宋"/>
          <w:sz w:val="24"/>
          <w:highlight w:val="none"/>
        </w:rPr>
        <w:t>12.2.7询价通知书对节能产品、环境标志产品另有规定的从其规定。</w:t>
      </w:r>
    </w:p>
    <w:p w14:paraId="1DF3417B">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12.3本国产品参加响应人</w:t>
      </w:r>
    </w:p>
    <w:p w14:paraId="736B153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12.3.1 本国产品应当符合以下条件：</w:t>
      </w:r>
    </w:p>
    <w:p w14:paraId="480C57C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12.3.1.1在中国境内生产</w:t>
      </w:r>
    </w:p>
    <w:p w14:paraId="41DC9BC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产品应当在中国境内生产，即在中华人民共和国关境内实现从原材料、组件到产品的属性改变。</w:t>
      </w:r>
    </w:p>
    <w:p w14:paraId="570C403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属性改变是指经过制造、加工或者组装等工序，产生完全不同于原材料、组件的新产品，并具有新的名称和特征（用途）。属性改变不包括以下细微操作：</w:t>
      </w:r>
    </w:p>
    <w:p w14:paraId="27647A5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①为确保产品在运输或者储存期间保持某种状态而进行的操作；</w:t>
      </w:r>
    </w:p>
    <w:p w14:paraId="1E49344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②为产品运输或者销售进行的包装或者展示；</w:t>
      </w:r>
    </w:p>
    <w:p w14:paraId="4A7B4A9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③在产品或者其包装上粘贴或者印刷品牌、标志、标识以及其他用于区别的标记；</w:t>
      </w:r>
    </w:p>
    <w:p w14:paraId="5C65634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④简单的上漆、磨光和分装；</w:t>
      </w:r>
    </w:p>
    <w:p w14:paraId="7013ED1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⑤其他不属于属性改变的情形。</w:t>
      </w:r>
    </w:p>
    <w:p w14:paraId="0B2B9A2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12.3.1.2 在中国境内生产的组件成本占比达到规定比例</w:t>
      </w:r>
    </w:p>
    <w:p w14:paraId="56B31A8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12.3.1.3 特定产品的关键组件、关键工序符合相关要求</w:t>
      </w:r>
    </w:p>
    <w:p w14:paraId="6AC0D68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12.3.1.4及12.3.1.3待财政部会同有关行业主管部门确定在中国境内生产的组件成本占比要求及特定产品的关键组件、关键工序相关要求，出台具体要求时，以新出台的文件规定执行。</w:t>
      </w:r>
    </w:p>
    <w:p w14:paraId="2E54ECD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12.3.2 本国产品参加响应人享受的政策：</w:t>
      </w:r>
    </w:p>
    <w:p w14:paraId="3C955DD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12.3.2.1 政府采购活动中既有本国产品又有非本国产品参与竞争的，依法对本国产品给予价格评审优惠，用扣除后的价格参与评审。</w:t>
      </w:r>
    </w:p>
    <w:p w14:paraId="62A97C0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12.3.2.2 当采购项目或者采购包中含有多种产品，响应人为该采购项目或者采购包提供的符合本国产品标准的产品成本之和占该响应人提供的全部产品成本之和的比例达到80%以上时，依法对该响应人提供的全部产品给予价格评审优惠，用扣除后的价格参与评审。</w:t>
      </w:r>
    </w:p>
    <w:p w14:paraId="4B7E3EA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12.3.3 本国产品参加响应人时提供的有关证明文件</w:t>
      </w:r>
    </w:p>
    <w:p w14:paraId="00EC430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响应人提供的货物为本国产品的,响应时提供询价通知书规定的《关于符合本国产品标准的声明函》（格式详见“第四章附件（响应文件参考格式） 10-2 ，以下简称《声明函》）或财政部会同有关部门规定的有关证明文件，并对声明函或有关证明文件的真实性负责，出具符合要求的《声明函》或有关证明文件的，该产品视为本国产品，采购人、采购代理机构不得再要求响应人提供其他证明材料。未提供不予享受评审中价格扣除等优惠政策。响应人提供虚假《声明函》、虚假证明文件谋取中标、成交的，依照《中华人民共和国政府采购法》等法律法规规定追究相应责任。</w:t>
      </w:r>
    </w:p>
    <w:p w14:paraId="048C7C48">
      <w:pPr>
        <w:spacing w:line="360" w:lineRule="auto"/>
        <w:ind w:firstLine="480" w:firstLineChars="200"/>
        <w:rPr>
          <w:rFonts w:hint="eastAsia" w:ascii="仿宋" w:hAnsi="仿宋" w:eastAsia="仿宋" w:cs="仿宋"/>
          <w:bCs/>
          <w:sz w:val="24"/>
          <w:highlight w:val="none"/>
        </w:rPr>
      </w:pPr>
      <w:r>
        <w:rPr>
          <w:rFonts w:hint="eastAsia" w:ascii="仿宋" w:hAnsi="仿宋" w:eastAsia="仿宋" w:cs="仿宋"/>
          <w:sz w:val="24"/>
          <w:highlight w:val="none"/>
        </w:rPr>
        <w:t>12.3.4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786115A">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12.4采购需求标准</w:t>
      </w:r>
    </w:p>
    <w:p w14:paraId="6996C36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12.4.1 商品包装、快递包装政府采购需求标准（试行）</w:t>
      </w:r>
    </w:p>
    <w:p w14:paraId="73C8B8C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为助力打好污染防治攻坚战，推广使用绿色包装，根据财政部关于印发《商品包装政府采购需求标准（试行）》、《快递包装政府采购需求标准（试行）》的通知（财办库〔2020〕123 号），本项目如涉及商品包装和快递包装的，则其具体要求见第五章《采购需求表及采购需求》。</w:t>
      </w:r>
    </w:p>
    <w:p w14:paraId="145A6F6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12.4.2 绿色数据中心政府采购需求标准（试行）</w:t>
      </w:r>
    </w:p>
    <w:p w14:paraId="633D3B3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为加快数据中心绿色转型，根据财政部 生态环境部工业和信息化部关于印发《绿色数据中心政府采购需求标准（试行）》的通知（财库〔2023〕7 号），本项目如涉及绿色数据中心，则具体要求见第五章《采购需求表及采购需求》。</w:t>
      </w:r>
    </w:p>
    <w:p w14:paraId="77CFF9C7">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13. 证明供应商合格和资格的文件</w:t>
      </w:r>
      <w:bookmarkEnd w:id="92"/>
    </w:p>
    <w:p w14:paraId="37EC944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13.1具有独立承担民事责任的能力的资格证明文件</w:t>
      </w:r>
    </w:p>
    <w:p w14:paraId="383DE5A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13.2具有良好的商业信誉和健全的财务会计制度的证明文件</w:t>
      </w:r>
    </w:p>
    <w:p w14:paraId="6BB4454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13.3 具有履行合同所必须的设备和专业技术能力的证明文件</w:t>
      </w:r>
    </w:p>
    <w:p w14:paraId="518A08C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13.4 有依法缴纳税收和社会保障资金的良好记录的证明文件</w:t>
      </w:r>
    </w:p>
    <w:p w14:paraId="2EE6599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13.5参加政府采购前三年内,在经营活动中没有重大违法记录的证明文件</w:t>
      </w:r>
    </w:p>
    <w:p w14:paraId="2E7E18C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13.6.其他法律要求</w:t>
      </w:r>
    </w:p>
    <w:p w14:paraId="0986E206">
      <w:pPr>
        <w:spacing w:line="360" w:lineRule="auto"/>
        <w:ind w:firstLine="480" w:firstLineChars="200"/>
        <w:rPr>
          <w:rFonts w:hint="eastAsia" w:ascii="仿宋" w:hAnsi="仿宋" w:eastAsia="仿宋" w:cs="仿宋"/>
          <w:sz w:val="24"/>
          <w:highlight w:val="none"/>
        </w:rPr>
      </w:pPr>
      <w:bookmarkStart w:id="93" w:name="_Toc262628456"/>
      <w:r>
        <w:rPr>
          <w:rFonts w:hint="eastAsia" w:ascii="仿宋" w:hAnsi="仿宋" w:eastAsia="仿宋" w:cs="仿宋"/>
          <w:sz w:val="24"/>
          <w:highlight w:val="none"/>
        </w:rPr>
        <w:t>14. 证明货物符合询价通知书规定的文件</w:t>
      </w:r>
      <w:bookmarkEnd w:id="93"/>
    </w:p>
    <w:p w14:paraId="3F500E65">
      <w:pPr>
        <w:spacing w:line="360" w:lineRule="auto"/>
        <w:ind w:firstLine="480" w:firstLineChars="200"/>
        <w:rPr>
          <w:rFonts w:hint="eastAsia" w:ascii="仿宋" w:hAnsi="仿宋" w:eastAsia="仿宋" w:cs="仿宋"/>
          <w:sz w:val="24"/>
          <w:highlight w:val="none"/>
        </w:rPr>
      </w:pPr>
      <w:bookmarkStart w:id="94" w:name="_Toc262628457"/>
      <w:r>
        <w:rPr>
          <w:rFonts w:hint="eastAsia" w:ascii="仿宋" w:hAnsi="仿宋" w:eastAsia="仿宋" w:cs="仿宋"/>
          <w:sz w:val="24"/>
          <w:highlight w:val="none"/>
        </w:rPr>
        <w:t>14.1 供应商应提交其货物和相关服务符合询价通知书规定的证明，作为响应文件的一部分。</w:t>
      </w:r>
    </w:p>
    <w:p w14:paraId="5082C8D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14.2 货物和相关服务与询价通知书的要求相一致的证明，可以是文字资料、图纸和数据，包括：</w:t>
      </w:r>
    </w:p>
    <w:p w14:paraId="7DC8BE1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 货物主要技术指标和性能的详细说明。</w:t>
      </w:r>
    </w:p>
    <w:p w14:paraId="765AFA7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 对照询价通知书技术规格，逐条说明所提供货物和相关服务已对询价通知书的技术规格做出了实质性响应，或申明与技术规格的偏差和例外。特别对于有具体参数要求的指标，供应商必须提供所供设备的具体参数。</w:t>
      </w:r>
    </w:p>
    <w:p w14:paraId="164CBB9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 商务条款的偏差和例外。</w:t>
      </w:r>
    </w:p>
    <w:p w14:paraId="37E75B7B">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15. 报价</w:t>
      </w:r>
      <w:bookmarkEnd w:id="94"/>
    </w:p>
    <w:p w14:paraId="2862C08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15.1参加询价采购活动的供应商，应当按照询价通知书的规定一次报出不得更改的价格。</w:t>
      </w:r>
    </w:p>
    <w:p w14:paraId="6CA13CB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15.2所有响应文件均以人民币报价，报价内容包含询价通知书规定的货物；标准附件；备品备件；专用工具；安装、调试、检验；培训；技术服务；运至最终目的地的运费、保险费和税费等相关费用。</w:t>
      </w:r>
    </w:p>
    <w:p w14:paraId="544D9EC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15.3供应商要按报价表（统一格式）和分项报价表（统一格式）的内容填写产品单价、总价及其他事项。总价中不得包含询价通知书要求以外的内容，否则，在评审时不予核减。</w:t>
      </w:r>
      <w:r>
        <w:rPr>
          <w:rFonts w:hint="eastAsia" w:ascii="仿宋" w:hAnsi="仿宋" w:eastAsia="仿宋" w:cs="仿宋"/>
          <w:b/>
          <w:bCs/>
          <w:sz w:val="24"/>
          <w:highlight w:val="none"/>
        </w:rPr>
        <w:t>若供应商不同意，将被视为响应无效。</w:t>
      </w:r>
    </w:p>
    <w:p w14:paraId="005BABA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15.4总价中不得缺漏询价通知书所要求的内容，否则，评审时将有效响应中该项内容的最高价计入其总价。缺漏部分成交后须提供，且成交价以响应报价为准；</w:t>
      </w:r>
      <w:r>
        <w:rPr>
          <w:rFonts w:hint="eastAsia" w:ascii="仿宋" w:hAnsi="仿宋" w:eastAsia="仿宋" w:cs="仿宋"/>
          <w:b/>
          <w:bCs/>
          <w:sz w:val="24"/>
          <w:highlight w:val="none"/>
        </w:rPr>
        <w:t>若供应商不同意，将被视为响应无效。</w:t>
      </w:r>
    </w:p>
    <w:p w14:paraId="12EE7AC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15.5供应商所报的价格在合同执行过程中是固定不变的，不得以任何理由予以变更。供应商应对所有询价内容进行响应，且只提供最优方案一套，供应商提交任何包含价格调整要求的响应将按非实质性响应</w:t>
      </w:r>
      <w:r>
        <w:rPr>
          <w:rFonts w:hint="eastAsia" w:ascii="仿宋" w:hAnsi="仿宋" w:eastAsia="仿宋" w:cs="仿宋"/>
          <w:b/>
          <w:bCs/>
          <w:sz w:val="24"/>
          <w:highlight w:val="none"/>
        </w:rPr>
        <w:t>被视为响应无效。</w:t>
      </w:r>
    </w:p>
    <w:p w14:paraId="59F3241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15.6若供应商提交的最后报价出现零报价、负报价</w:t>
      </w:r>
      <w:r>
        <w:rPr>
          <w:rFonts w:hint="eastAsia" w:ascii="仿宋" w:hAnsi="仿宋" w:eastAsia="仿宋" w:cs="仿宋"/>
          <w:b/>
          <w:bCs/>
          <w:sz w:val="24"/>
          <w:highlight w:val="none"/>
        </w:rPr>
        <w:t>视为无效报价。</w:t>
      </w:r>
    </w:p>
    <w:p w14:paraId="68A1646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15.7若供应商提交的最后报价出现明显低于其他通过符合性审查供应商的报价，有可能影响产品、工程质量或不能诚信履约的，询价小组有权要求供应商在合理时间内提供书面说明，必要时提交相关证明材料；供应商不能证明其报价合理性的，询价小组可将其</w:t>
      </w:r>
      <w:r>
        <w:rPr>
          <w:rFonts w:hint="eastAsia" w:ascii="仿宋" w:hAnsi="仿宋" w:eastAsia="仿宋" w:cs="仿宋"/>
          <w:b/>
          <w:bCs/>
          <w:sz w:val="24"/>
          <w:highlight w:val="none"/>
        </w:rPr>
        <w:t>作为无效响应处理。</w:t>
      </w:r>
    </w:p>
    <w:p w14:paraId="622C867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15.8 供应商如需用外汇购入某些货物，须折合人民币(包含进口环节税)计入总报价中。</w:t>
      </w:r>
    </w:p>
    <w:p w14:paraId="5D42FAE0">
      <w:pPr>
        <w:spacing w:line="360" w:lineRule="auto"/>
        <w:ind w:firstLine="482" w:firstLineChars="200"/>
        <w:rPr>
          <w:rFonts w:hint="eastAsia" w:ascii="仿宋" w:hAnsi="仿宋" w:eastAsia="仿宋" w:cs="仿宋"/>
          <w:sz w:val="24"/>
          <w:highlight w:val="none"/>
        </w:rPr>
      </w:pPr>
      <w:bookmarkStart w:id="95" w:name="_Toc262628458"/>
      <w:r>
        <w:rPr>
          <w:rFonts w:hint="eastAsia" w:ascii="仿宋" w:hAnsi="仿宋" w:eastAsia="仿宋" w:cs="仿宋"/>
          <w:b/>
          <w:bCs/>
          <w:sz w:val="24"/>
          <w:highlight w:val="none"/>
        </w:rPr>
        <w:t>16. 询价保证金</w:t>
      </w:r>
      <w:bookmarkEnd w:id="95"/>
    </w:p>
    <w:p w14:paraId="00B061D6">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16.1 供应商须在响应文件递交截止时间之前向采购代理机构提交“供应商须知前附表”规定的询价保证金，并作为其响应文件的一部分。</w:t>
      </w:r>
    </w:p>
    <w:p w14:paraId="31E36D1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16.2 任何未按第16.1条要求提交询价保证金的响应文件</w:t>
      </w:r>
      <w:r>
        <w:rPr>
          <w:rFonts w:hint="eastAsia" w:ascii="仿宋" w:hAnsi="仿宋" w:eastAsia="仿宋" w:cs="仿宋"/>
          <w:b/>
          <w:bCs/>
          <w:sz w:val="24"/>
          <w:highlight w:val="none"/>
        </w:rPr>
        <w:t>被视为无效。</w:t>
      </w:r>
    </w:p>
    <w:p w14:paraId="0F57123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16.3 成交供应商的询价保证金在采购合同签订后5个工作日内退还。</w:t>
      </w:r>
    </w:p>
    <w:p w14:paraId="24084BE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16.4 未成交供应商的询价保证金在成交通知书发出后5个工作日内退还。</w:t>
      </w:r>
    </w:p>
    <w:p w14:paraId="28043FB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16.5 下列任何情况发生时，询价保证金将不予退还：</w:t>
      </w:r>
    </w:p>
    <w:p w14:paraId="40FA6FE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(1)供应商在询价通知书规定的询价有效期内撤回其响应文件；</w:t>
      </w:r>
    </w:p>
    <w:p w14:paraId="030A5890">
      <w:pPr>
        <w:spacing w:line="360" w:lineRule="auto"/>
        <w:ind w:firstLine="480" w:firstLineChars="200"/>
        <w:rPr>
          <w:rFonts w:hint="eastAsia" w:ascii="仿宋" w:hAnsi="仿宋" w:eastAsia="仿宋" w:cs="仿宋"/>
          <w:sz w:val="24"/>
          <w:highlight w:val="none"/>
        </w:rPr>
      </w:pPr>
      <w:bookmarkStart w:id="96" w:name="_Toc262628459"/>
      <w:r>
        <w:rPr>
          <w:rFonts w:hint="eastAsia" w:ascii="仿宋" w:hAnsi="仿宋" w:eastAsia="仿宋" w:cs="仿宋"/>
          <w:sz w:val="24"/>
          <w:highlight w:val="none"/>
        </w:rPr>
        <w:t>(2)供应商在响应文件中提供虚假材料的；</w:t>
      </w:r>
    </w:p>
    <w:p w14:paraId="49B31EA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(3)除因不可抗力或询价通知书认可的情形以外，成交供应商不与采购人签订合同的；</w:t>
      </w:r>
    </w:p>
    <w:p w14:paraId="67AA281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(4)供应商与采购人、其他供应商或者采购代理机构恶意串通的；</w:t>
      </w:r>
    </w:p>
    <w:p w14:paraId="0B22BB3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(5)成交供应商未按规定缴付采购代理服务费；</w:t>
      </w:r>
    </w:p>
    <w:p w14:paraId="4CEFE16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(6)成交供应商未按规定提交履约保证金；</w:t>
      </w:r>
    </w:p>
    <w:p w14:paraId="2A6F9EA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(7)采购文件规定的其他情形。</w:t>
      </w:r>
    </w:p>
    <w:p w14:paraId="78CA633D">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17. 询价有效期</w:t>
      </w:r>
      <w:bookmarkEnd w:id="96"/>
    </w:p>
    <w:p w14:paraId="1F529EB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17.1询价有效期为自询价之日起不少于“供应商须知前附表”规定的时间保持有效。询价有效期不足的响应文件</w:t>
      </w:r>
      <w:r>
        <w:rPr>
          <w:rFonts w:hint="eastAsia" w:ascii="仿宋" w:hAnsi="仿宋" w:eastAsia="仿宋" w:cs="仿宋"/>
          <w:b/>
          <w:bCs/>
          <w:sz w:val="24"/>
          <w:highlight w:val="none"/>
        </w:rPr>
        <w:t>被视为无效。</w:t>
      </w:r>
    </w:p>
    <w:p w14:paraId="47CDE34B">
      <w:pPr>
        <w:spacing w:line="360" w:lineRule="auto"/>
        <w:ind w:firstLine="482" w:firstLineChars="200"/>
        <w:rPr>
          <w:rFonts w:hint="eastAsia" w:ascii="仿宋" w:hAnsi="仿宋" w:eastAsia="仿宋" w:cs="仿宋"/>
          <w:sz w:val="24"/>
          <w:highlight w:val="none"/>
        </w:rPr>
      </w:pPr>
      <w:bookmarkStart w:id="97" w:name="_Toc262628460"/>
      <w:r>
        <w:rPr>
          <w:rFonts w:hint="eastAsia" w:ascii="仿宋" w:hAnsi="仿宋" w:eastAsia="仿宋" w:cs="仿宋"/>
          <w:b/>
          <w:bCs/>
          <w:sz w:val="24"/>
          <w:highlight w:val="none"/>
        </w:rPr>
        <w:t>18. 响应文件的签署及规定</w:t>
      </w:r>
      <w:bookmarkEnd w:id="97"/>
    </w:p>
    <w:p w14:paraId="1EF18B9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18.1 供应商应准备一份响应文件正本和“供应商须知前附表”规定份数的副本。每套响应文件须清楚地标明“正本”或“副本”。若正本和副本不符，以正本为准。</w:t>
      </w:r>
    </w:p>
    <w:p w14:paraId="383CFA0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18.2 响应文件的正本必须打印，并按询价通知书的要求签字、盖章（或按印）。副本可采用正本的复印件。</w:t>
      </w:r>
      <w:r>
        <w:rPr>
          <w:rFonts w:hint="eastAsia" w:ascii="仿宋" w:hAnsi="仿宋" w:eastAsia="仿宋" w:cs="仿宋"/>
          <w:b/>
          <w:bCs/>
          <w:sz w:val="24"/>
          <w:highlight w:val="none"/>
        </w:rPr>
        <w:t>响应文件正、副本均须胶装。</w:t>
      </w:r>
    </w:p>
    <w:p w14:paraId="61C2E4B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18.3 响应文件不得涂改和增删，如有修改，必须由响应文件签字人签字或盖章或按印。</w:t>
      </w:r>
    </w:p>
    <w:p w14:paraId="6FA9F7A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18.4 响应文件因字迹潦草或表达不清所引起的后果由供应商负责。</w:t>
      </w:r>
    </w:p>
    <w:p w14:paraId="6410B7C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18.5 电报、电传、传真形式的响应文件概不接受。</w:t>
      </w:r>
    </w:p>
    <w:p w14:paraId="7C533EA8">
      <w:pPr>
        <w:pStyle w:val="4"/>
        <w:rPr>
          <w:rFonts w:hint="eastAsia" w:ascii="仿宋" w:hAnsi="仿宋" w:eastAsia="仿宋" w:cs="仿宋"/>
          <w:szCs w:val="24"/>
          <w:highlight w:val="none"/>
        </w:rPr>
      </w:pPr>
      <w:bookmarkStart w:id="98" w:name="_Toc13945"/>
      <w:bookmarkStart w:id="99" w:name="_Toc28085"/>
      <w:bookmarkStart w:id="100" w:name="_Toc14495"/>
      <w:bookmarkStart w:id="101" w:name="_Toc25567"/>
      <w:bookmarkStart w:id="102" w:name="_Toc12714"/>
      <w:bookmarkStart w:id="103" w:name="_Toc22928"/>
      <w:bookmarkStart w:id="104" w:name="_Toc287002508"/>
      <w:bookmarkStart w:id="105" w:name="_Toc475970877"/>
      <w:r>
        <w:rPr>
          <w:rFonts w:hint="eastAsia" w:ascii="仿宋" w:hAnsi="仿宋" w:eastAsia="仿宋" w:cs="仿宋"/>
          <w:sz w:val="28"/>
          <w:szCs w:val="28"/>
          <w:highlight w:val="none"/>
        </w:rPr>
        <w:t>五、响应文件的递交</w:t>
      </w:r>
      <w:bookmarkEnd w:id="98"/>
      <w:bookmarkEnd w:id="99"/>
      <w:bookmarkEnd w:id="100"/>
      <w:bookmarkEnd w:id="101"/>
      <w:bookmarkEnd w:id="102"/>
      <w:bookmarkEnd w:id="103"/>
      <w:bookmarkEnd w:id="104"/>
      <w:bookmarkEnd w:id="105"/>
    </w:p>
    <w:p w14:paraId="5E7DC8F7">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19. 响应文件的密封及标记</w:t>
      </w:r>
    </w:p>
    <w:p w14:paraId="40CC327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19.1 供应商应将响应文件正本和“供应商须知前附表”规定的副本密封装在一个单独的信封中。</w:t>
      </w:r>
    </w:p>
    <w:p w14:paraId="242865C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19.2 为方便询价，供应商应将报价表、询价保证金凭据复印件单独密封（响应文件正、副本中须附有），并在信封上标明“报价表”字样。</w:t>
      </w:r>
    </w:p>
    <w:p w14:paraId="72456AE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19.3信封封口处有询价全权代表的签字或单位公章（或自然人手印）。封皮上注明询价项目名称、项目编号、供应商名称、地址、邮政编码、电话、联系人，并注明“询价时启封”字样。</w:t>
      </w:r>
    </w:p>
    <w:p w14:paraId="156C486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19.4如果供应商未按上述要求密封及加写标记，采购代理机构对响应文件的误投和提前启封概不负责。</w:t>
      </w:r>
    </w:p>
    <w:p w14:paraId="41945F53">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20. 询价截止时间</w:t>
      </w:r>
    </w:p>
    <w:p w14:paraId="4BFD3B5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20.1供应商必须在“询价邀请”规定的截止时间前，将响应文件密封送达指定地点。已购买询价通知书的供应商，在提交响应文件的截止时间一日前，未书面通知代理机构放弃询价的，不得再参加该项目的采购活动。</w:t>
      </w:r>
    </w:p>
    <w:p w14:paraId="780D327A">
      <w:p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21. 迟交的响应文件</w:t>
      </w:r>
    </w:p>
    <w:p w14:paraId="182015E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21.1在响应文件递交截止时间以后送达的响应文件，采购代理机构将拒绝接收。</w:t>
      </w:r>
    </w:p>
    <w:p w14:paraId="6ADC2910">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22. 响应文件的补充、修改或撤回</w:t>
      </w:r>
    </w:p>
    <w:p w14:paraId="75D6B8C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22.1供应商在提交响应文件截止时间前，可以对所提交的响应文件进行补充、修改或者撤回，并书面通知采购代理机构。补充、修改的内容作为响应文件的组成部分。补充、修改的内容与响应文件不一致的，以补充、修改的内容为准。</w:t>
      </w:r>
    </w:p>
    <w:p w14:paraId="3147C4E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22.2从响应文件递交截止期至询价有效期期满这段时间内，供应商不得撤回其响应文件，否则将不予退还其交纳的询价保证金。</w:t>
      </w:r>
    </w:p>
    <w:p w14:paraId="527603F0">
      <w:pPr>
        <w:pStyle w:val="4"/>
        <w:rPr>
          <w:rFonts w:hint="eastAsia" w:ascii="仿宋" w:hAnsi="仿宋" w:eastAsia="仿宋" w:cs="仿宋"/>
          <w:szCs w:val="28"/>
          <w:highlight w:val="none"/>
        </w:rPr>
      </w:pPr>
      <w:bookmarkStart w:id="106" w:name="_Toc287002509"/>
      <w:bookmarkStart w:id="107" w:name="_Toc6101"/>
      <w:bookmarkStart w:id="108" w:name="_Toc475970878"/>
      <w:bookmarkStart w:id="109" w:name="_Toc8518"/>
      <w:bookmarkStart w:id="110" w:name="_Toc26198"/>
      <w:bookmarkStart w:id="111" w:name="_Toc32727"/>
      <w:bookmarkStart w:id="112" w:name="_Toc15043"/>
      <w:bookmarkStart w:id="113" w:name="_Toc17142"/>
      <w:r>
        <w:rPr>
          <w:rFonts w:hint="eastAsia" w:ascii="仿宋" w:hAnsi="仿宋" w:eastAsia="仿宋" w:cs="仿宋"/>
          <w:sz w:val="28"/>
          <w:szCs w:val="28"/>
          <w:highlight w:val="none"/>
        </w:rPr>
        <w:t>六、</w:t>
      </w:r>
      <w:bookmarkEnd w:id="106"/>
      <w:r>
        <w:rPr>
          <w:rFonts w:hint="eastAsia" w:ascii="仿宋" w:hAnsi="仿宋" w:eastAsia="仿宋" w:cs="仿宋"/>
          <w:sz w:val="28"/>
          <w:szCs w:val="28"/>
          <w:highlight w:val="none"/>
        </w:rPr>
        <w:t>询价与评审</w:t>
      </w:r>
      <w:bookmarkEnd w:id="107"/>
      <w:bookmarkEnd w:id="108"/>
      <w:bookmarkEnd w:id="109"/>
      <w:bookmarkEnd w:id="110"/>
      <w:bookmarkEnd w:id="111"/>
      <w:bookmarkEnd w:id="112"/>
      <w:bookmarkEnd w:id="113"/>
    </w:p>
    <w:p w14:paraId="01E332BB">
      <w:pPr>
        <w:spacing w:line="360" w:lineRule="auto"/>
        <w:ind w:firstLine="482" w:firstLineChars="200"/>
        <w:rPr>
          <w:rFonts w:hint="eastAsia" w:ascii="仿宋" w:hAnsi="仿宋" w:eastAsia="仿宋" w:cs="仿宋"/>
          <w:b/>
          <w:bCs/>
          <w:sz w:val="24"/>
          <w:highlight w:val="none"/>
        </w:rPr>
      </w:pPr>
      <w:bookmarkStart w:id="114" w:name="_Toc192386816"/>
      <w:bookmarkStart w:id="115" w:name="_Toc262628626"/>
      <w:r>
        <w:rPr>
          <w:rFonts w:hint="eastAsia" w:ascii="仿宋" w:hAnsi="仿宋" w:eastAsia="仿宋" w:cs="仿宋"/>
          <w:b/>
          <w:bCs/>
          <w:sz w:val="24"/>
          <w:highlight w:val="none"/>
        </w:rPr>
        <w:t>23. 公开报价</w:t>
      </w:r>
    </w:p>
    <w:p w14:paraId="43AF738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23.1采购代理机构在“询价邀请”中规定的时间、地点主持公开报价。公开报价时邀请所有供应商代表参加。参加公开报价的代表应签名报到以证明其出席。</w:t>
      </w:r>
    </w:p>
    <w:p w14:paraId="591A847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23.2公开报价时查验响应文件密封情况，确认无误后，代理机构按递交响应文件的顺序拆封并公开报价。</w:t>
      </w:r>
    </w:p>
    <w:p w14:paraId="6671ADC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23.3公开报价时，采购代理机构将宣读供应商名称、总报价、交货期、交货地点、报价声明以及采购代理机构认为合适的其他内容。采购代理机构将做报价记录，只有公开报价时唱出的报价声明，在评审时才予以考虑。在公开报价时没有启封和宣读的响应文件，在评审时将不予考虑。</w:t>
      </w:r>
    </w:p>
    <w:p w14:paraId="6275E86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23.4若供应商提交的报价出现零报价、负报价视为无效报价。</w:t>
      </w:r>
    </w:p>
    <w:p w14:paraId="3163870B">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24. 成立询价小组</w:t>
      </w:r>
    </w:p>
    <w:p w14:paraId="6F2A293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24.1 在相关的政府采购评审专家库中随机抽取评审专家，依法成立询价小组。评审工作由询价小组负责。</w:t>
      </w:r>
    </w:p>
    <w:p w14:paraId="404F4D72">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25. 响应文件的初审</w:t>
      </w:r>
    </w:p>
    <w:p w14:paraId="609E5CC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25.1响应文件的初审分为：</w:t>
      </w:r>
    </w:p>
    <w:p w14:paraId="21534D2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（1）资格性检查。依据法律法规和询价通知书的规定，对响应文件中的资格证明、询价保证金等进行审查，以确定供应商是否具备询价资格。</w:t>
      </w:r>
    </w:p>
    <w:p w14:paraId="0E923BB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（2）采购代理机构将在询价期间查询响应人的信用记录并告知询价小组，经询价小组评审确定响应人存在不良信用记录的，其响应无效；查询到的不良信用记录随采购文件存档。</w:t>
      </w:r>
    </w:p>
    <w:p w14:paraId="2EB5084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1）根据《财政部关于在政府采购活动中查询及使用信用记录有关问题的通知》（财库[2016]125 号），不良信用记录指：响应人在“信用中国”网站（www.creditchina.gov.cn）被列入失信被执行人和重大税收违法案件当事人名单或在中国政府采购网（www.ccgp.gov.cn）被列入政府采购严重违法失信行为记录名单。</w:t>
      </w:r>
    </w:p>
    <w:p w14:paraId="59ABF43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2）响应人不良信用记录以采购代理机构查询结果为准，采购代理机构查询之后，网站信息发生的任何变更均不再作为评审依据，响应人自行提供的与网站信息不一致的其他证明材料亦不作为评审依据。</w:t>
      </w:r>
    </w:p>
    <w:p w14:paraId="4DBF7C6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（3）符合性检查。依据询价通知书的规定，从响应文件的有效性、完整性和对询价通知书的响应程度、有无计算错误进行审查，以确定是否对询价通知书的实质性要求作出响应。</w:t>
      </w:r>
    </w:p>
    <w:p w14:paraId="582DC30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25.2 初审中，算术计算错误将按以下方法更正：</w:t>
      </w:r>
    </w:p>
    <w:p w14:paraId="3C1CA4C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（1）如果报价表内容与响应文件中分项报价表内容不一致的，以报价表为准。</w:t>
      </w:r>
    </w:p>
    <w:p w14:paraId="4B965FB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（2）响应文件的大写金额和小写金额不一致的，以大写金额为准；总价金额与按单价汇总金额不一致的，以单价金额计算结果为准；单价金额小数点有明显错位的，应以总价为准，并修改单价；</w:t>
      </w:r>
    </w:p>
    <w:p w14:paraId="5FE59FA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（3）如果供应商不同意对其错误的更正，其报价将作无效报价处理。</w:t>
      </w:r>
    </w:p>
    <w:p w14:paraId="743F457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25.3询价小组可以允许响应文件中存在不构成实质性偏差的不正规、不一致或不规范，但不能损害或影响任何供应商的相对排序。</w:t>
      </w:r>
    </w:p>
    <w:p w14:paraId="1D5FDAF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25.4 实质上没有响应询价通知书要求的响应文件</w:t>
      </w:r>
      <w:r>
        <w:rPr>
          <w:rFonts w:hint="eastAsia" w:ascii="仿宋" w:hAnsi="仿宋" w:eastAsia="仿宋" w:cs="仿宋"/>
          <w:b/>
          <w:bCs/>
          <w:sz w:val="24"/>
          <w:highlight w:val="none"/>
        </w:rPr>
        <w:t>被视为无效。</w:t>
      </w:r>
      <w:r>
        <w:rPr>
          <w:rFonts w:hint="eastAsia" w:ascii="仿宋" w:hAnsi="仿宋" w:eastAsia="仿宋" w:cs="仿宋"/>
          <w:sz w:val="24"/>
          <w:highlight w:val="none"/>
        </w:rPr>
        <w:t>供应商不得通过修正或撤消不合要求的偏离或保留从而使响应文件成为实质上响应的响应文件。如发生下列情况之一的，其响应文件</w:t>
      </w:r>
      <w:r>
        <w:rPr>
          <w:rFonts w:hint="eastAsia" w:ascii="仿宋" w:hAnsi="仿宋" w:eastAsia="仿宋" w:cs="仿宋"/>
          <w:b/>
          <w:bCs/>
          <w:sz w:val="24"/>
          <w:highlight w:val="none"/>
        </w:rPr>
        <w:t>被视为无效：</w:t>
      </w:r>
    </w:p>
    <w:p w14:paraId="7899691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1）未提交询价响应书的；</w:t>
      </w:r>
    </w:p>
    <w:p w14:paraId="0219FC4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2）未提交报价表、分项报价表或分项报价表中未列出分项报价的；</w:t>
      </w:r>
    </w:p>
    <w:p w14:paraId="076F4BE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3）提交了可调整报价的；</w:t>
      </w:r>
    </w:p>
    <w:p w14:paraId="7B3251E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4）供应商未提交询价保证金或金额不足，询价保证金形式不符合询价通知书要求的；</w:t>
      </w:r>
    </w:p>
    <w:p w14:paraId="2323D80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5）未按询价通知书“第四章附件12”的规定提供资格证明文件；</w:t>
      </w:r>
    </w:p>
    <w:p w14:paraId="347A63E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6）未按询价通知书要求加盖单位公章（或自然人按印），法人代表授权书没有法定代表人（或经营者）签字（章）或签字（章）人没有法定代表人（或经营者）有效委托的；</w:t>
      </w:r>
    </w:p>
    <w:p w14:paraId="7A3131E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7）询价通知书规定为国产产品而提供的是进口产品的；</w:t>
      </w:r>
    </w:p>
    <w:p w14:paraId="28CE5D2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8) 询价有效期不足的；</w:t>
      </w:r>
    </w:p>
    <w:p w14:paraId="0F1EB96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9)技术文件技术规格中的响应与事实不符或虚假响应的；</w:t>
      </w:r>
    </w:p>
    <w:p w14:paraId="64DFE49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10)超过了采购项目预算的；</w:t>
      </w:r>
    </w:p>
    <w:p w14:paraId="12E861B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11）询价通知书规定的其他响应无效条款。</w:t>
      </w:r>
    </w:p>
    <w:p w14:paraId="062E447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25.5询价小组对响应文件的判定，只依据响应文件内容本身，而不依据外部的证据。</w:t>
      </w:r>
    </w:p>
    <w:p w14:paraId="2F8EB4D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25.6若供应商提交的报价出现明显低于其他通过符合性审查供应商的报价，有可能影响产品、工程质量或不能诚信履约的，询价小组有权要求供应商在合理时间内提供书面说明，必要时提交相关证明材料；供应商不能证明其报价合理性的，询价小组可将其作为</w:t>
      </w:r>
      <w:r>
        <w:rPr>
          <w:rFonts w:hint="eastAsia" w:ascii="仿宋" w:hAnsi="仿宋" w:eastAsia="仿宋" w:cs="仿宋"/>
          <w:b/>
          <w:bCs/>
          <w:sz w:val="24"/>
          <w:highlight w:val="none"/>
        </w:rPr>
        <w:t>无效响应处理。</w:t>
      </w:r>
    </w:p>
    <w:p w14:paraId="1F4CB3E4">
      <w:p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26. 响应文件的澄清</w:t>
      </w:r>
    </w:p>
    <w:p w14:paraId="786969B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26.1在评审期间，询价小组可要求供应商对其响应文件进行澄清，但澄清不得对响应文件报价等实质内容作任何修改。有关澄清的要求和答复均应以书面形式提交，供应商的澄清、说明书面材料，由其授权的代表签字。</w:t>
      </w:r>
    </w:p>
    <w:p w14:paraId="6951D80B">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27. 响应文件的评价与比较</w:t>
      </w:r>
    </w:p>
    <w:p w14:paraId="30CB7DE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27.1询价小组按照询价通知书中的评审方法和评审标准，对资格性检查和符合性检查合格的响应文件进行商务和技术评估，综合比较与评价。</w:t>
      </w:r>
    </w:p>
    <w:p w14:paraId="1AFE4580">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28.异常低价审查</w:t>
      </w:r>
    </w:p>
    <w:p w14:paraId="3BCC821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25.1.1评审中出现下列情形之一的，评审委员会应当启动异常低价响应审查程序：</w:t>
      </w:r>
    </w:p>
    <w:p w14:paraId="1B4B334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28.1.1.1 响应报价低于全部通过符合性审查响应人响应报价平均值50%的，即响应报价&lt;全部通过符合性审查响应人响应报价平均值×50%；</w:t>
      </w:r>
    </w:p>
    <w:p w14:paraId="746F924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28.1.1.2 响应报价低于通过符合性审查的次低报价响应人响应报价50%的，即响应报价&lt;通过符合性审查的次低报价响应人响应报价×50%；</w:t>
      </w:r>
    </w:p>
    <w:p w14:paraId="06A4BD7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28.1.1.3 响应报价低于采购项目最高限价45%的，即响应报价&lt;采购项目最高限价×45%；</w:t>
      </w:r>
    </w:p>
    <w:p w14:paraId="0FB6F0D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28.1.1.4 评审委员会认为响应人报价过低，有可能影响产品质量或者不能诚信履约的其他情形。</w:t>
      </w:r>
    </w:p>
    <w:p w14:paraId="5058BE9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相关法律法规对响应人报价有规定的，从其规定。</w:t>
      </w:r>
    </w:p>
    <w:p w14:paraId="51554FC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28.1.2 评审委员会启动异常低价响应审查后，应当要求相关响应人在评审现场合理的时间内对响应价格作出解释，提供项目具体成本测算等与报价合理性相关的书面说明及必要的证明材料。评审委员会结合同类项目的成交价格、在主要电商平台的价格、行业薪资水平等情况，依据专业经验对报价合理性进行判断。响应人不能提供书面说明、证明材料，或者提供的书面说明、证明材料不能证明其报价合理性的，评审委员会应当将其作为无效投标（响应）处理，并在评审报告中记录审查相关情况。</w:t>
      </w:r>
    </w:p>
    <w:p w14:paraId="390B9C8B">
      <w:pPr>
        <w:spacing w:line="360" w:lineRule="auto"/>
        <w:ind w:firstLine="480" w:firstLineChars="200"/>
        <w:rPr>
          <w:rFonts w:hint="eastAsia" w:ascii="仿宋" w:hAnsi="仿宋" w:eastAsia="仿宋" w:cs="仿宋"/>
          <w:highlight w:val="none"/>
        </w:rPr>
      </w:pPr>
      <w:r>
        <w:rPr>
          <w:rFonts w:hint="eastAsia" w:ascii="仿宋" w:hAnsi="仿宋" w:eastAsia="仿宋" w:cs="仿宋"/>
          <w:sz w:val="24"/>
          <w:highlight w:val="none"/>
        </w:rPr>
        <w:t>采购人应当为评审委员会在评审现场及时获取采购项目中标（成交）价格、市场价格水平、行业薪资水平等相关信息资料提供便利。</w:t>
      </w:r>
    </w:p>
    <w:p w14:paraId="2069281B">
      <w:pPr>
        <w:spacing w:line="360" w:lineRule="auto"/>
        <w:ind w:firstLine="482" w:firstLineChars="200"/>
        <w:rPr>
          <w:rFonts w:hint="eastAsia" w:ascii="仿宋" w:hAnsi="仿宋" w:eastAsia="仿宋" w:cs="仿宋"/>
          <w:sz w:val="24"/>
          <w:highlight w:val="none"/>
        </w:rPr>
      </w:pPr>
      <w:bookmarkStart w:id="116" w:name="_Toc286758336"/>
      <w:r>
        <w:rPr>
          <w:rFonts w:hint="eastAsia" w:ascii="仿宋" w:hAnsi="仿宋" w:eastAsia="仿宋" w:cs="仿宋"/>
          <w:b/>
          <w:bCs/>
          <w:sz w:val="24"/>
          <w:highlight w:val="none"/>
        </w:rPr>
        <w:t>29.</w:t>
      </w:r>
      <w:bookmarkEnd w:id="116"/>
      <w:r>
        <w:rPr>
          <w:rFonts w:hint="eastAsia" w:ascii="仿宋" w:hAnsi="仿宋" w:eastAsia="仿宋" w:cs="仿宋"/>
          <w:b/>
          <w:bCs/>
          <w:sz w:val="24"/>
          <w:highlight w:val="none"/>
        </w:rPr>
        <w:t xml:space="preserve"> 成交标准</w:t>
      </w:r>
    </w:p>
    <w:p w14:paraId="244303C3">
      <w:pPr>
        <w:spacing w:line="360" w:lineRule="auto"/>
        <w:ind w:firstLine="480" w:firstLineChars="200"/>
        <w:rPr>
          <w:rFonts w:hint="eastAsia" w:ascii="仿宋" w:hAnsi="仿宋" w:eastAsia="仿宋" w:cs="仿宋"/>
          <w:sz w:val="24"/>
          <w:highlight w:val="none"/>
        </w:rPr>
      </w:pPr>
      <w:bookmarkStart w:id="117" w:name="_Toc286760740"/>
      <w:bookmarkStart w:id="118" w:name="_Toc286758337"/>
      <w:r>
        <w:rPr>
          <w:rFonts w:hint="eastAsia" w:ascii="仿宋" w:hAnsi="仿宋" w:eastAsia="仿宋" w:cs="仿宋"/>
          <w:sz w:val="24"/>
          <w:highlight w:val="none"/>
        </w:rPr>
        <w:t xml:space="preserve">29.1 详见 </w:t>
      </w:r>
      <w:r>
        <w:rPr>
          <w:rFonts w:hint="eastAsia" w:ascii="仿宋" w:hAnsi="仿宋" w:eastAsia="仿宋" w:cs="仿宋"/>
          <w:b/>
          <w:bCs/>
          <w:sz w:val="24"/>
          <w:highlight w:val="none"/>
        </w:rPr>
        <w:t>“供应商须知前附表”。</w:t>
      </w:r>
    </w:p>
    <w:bookmarkEnd w:id="117"/>
    <w:p w14:paraId="1DD4D688">
      <w:p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 xml:space="preserve">30. </w:t>
      </w:r>
      <w:bookmarkStart w:id="119" w:name="_Toc262628248"/>
      <w:r>
        <w:rPr>
          <w:rFonts w:hint="eastAsia" w:ascii="仿宋" w:hAnsi="仿宋" w:eastAsia="仿宋" w:cs="仿宋"/>
          <w:b/>
          <w:bCs/>
          <w:sz w:val="24"/>
          <w:highlight w:val="none"/>
        </w:rPr>
        <w:t>与询价小组的接触</w:t>
      </w:r>
      <w:bookmarkEnd w:id="118"/>
      <w:bookmarkEnd w:id="119"/>
    </w:p>
    <w:p w14:paraId="41F8C02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30.1 除按本须知第26.1条规定的外，从询价之日起至授予合同期间，供应商不得就其询价有关的事项与询价小组私下接触。</w:t>
      </w:r>
    </w:p>
    <w:p w14:paraId="7090B52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30.2 供应商试图对询价小组的评审施加任何影响，都可能导致其响应文件作无效处理。</w:t>
      </w:r>
    </w:p>
    <w:p w14:paraId="016C3EE2">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31. 终止询价采购活动的情形</w:t>
      </w:r>
    </w:p>
    <w:p w14:paraId="0E586D8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31.1出现下列情形之一的，终止询价采购活动：</w:t>
      </w:r>
    </w:p>
    <w:p w14:paraId="2F010D8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（1）因情况变化，不再符合规定的询价采购方式适用情形的；</w:t>
      </w:r>
    </w:p>
    <w:p w14:paraId="0AD2310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（2）出现影响采购公正的违法、违规行为的；</w:t>
      </w:r>
    </w:p>
    <w:p w14:paraId="78D571D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（3）在采购过程中符合竞争要求的供应商或者报价未超过采购预算的供应商不足3家的。</w:t>
      </w:r>
      <w:bookmarkEnd w:id="114"/>
      <w:bookmarkEnd w:id="115"/>
      <w:bookmarkStart w:id="120" w:name="_Toc372275496"/>
    </w:p>
    <w:p w14:paraId="270DABA0">
      <w:pPr>
        <w:pStyle w:val="4"/>
        <w:rPr>
          <w:rFonts w:hint="eastAsia" w:ascii="仿宋" w:hAnsi="仿宋" w:eastAsia="仿宋" w:cs="仿宋"/>
          <w:szCs w:val="24"/>
          <w:highlight w:val="none"/>
        </w:rPr>
      </w:pPr>
      <w:bookmarkStart w:id="121" w:name="_Toc9740"/>
      <w:bookmarkStart w:id="122" w:name="_Toc9285"/>
      <w:bookmarkStart w:id="123" w:name="_Toc30893"/>
      <w:bookmarkStart w:id="124" w:name="_Toc19737"/>
      <w:bookmarkStart w:id="125" w:name="_Toc475970879"/>
      <w:bookmarkStart w:id="126" w:name="_Toc2945"/>
      <w:bookmarkStart w:id="127" w:name="_Toc8893"/>
      <w:r>
        <w:rPr>
          <w:rFonts w:hint="eastAsia" w:ascii="仿宋" w:hAnsi="仿宋" w:eastAsia="仿宋" w:cs="仿宋"/>
          <w:sz w:val="28"/>
          <w:szCs w:val="28"/>
          <w:highlight w:val="none"/>
        </w:rPr>
        <w:t>七、</w:t>
      </w:r>
      <w:bookmarkEnd w:id="120"/>
      <w:r>
        <w:rPr>
          <w:rFonts w:hint="eastAsia" w:ascii="仿宋" w:hAnsi="仿宋" w:eastAsia="仿宋" w:cs="仿宋"/>
          <w:sz w:val="28"/>
          <w:szCs w:val="28"/>
          <w:highlight w:val="none"/>
        </w:rPr>
        <w:t>推荐成交候选供应商、确定成交供应商</w:t>
      </w:r>
      <w:bookmarkEnd w:id="121"/>
      <w:bookmarkEnd w:id="122"/>
      <w:bookmarkEnd w:id="123"/>
      <w:bookmarkEnd w:id="124"/>
      <w:bookmarkEnd w:id="125"/>
      <w:bookmarkEnd w:id="126"/>
      <w:bookmarkEnd w:id="127"/>
    </w:p>
    <w:p w14:paraId="586E94AA">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32. 推荐成交候选供应商</w:t>
      </w:r>
    </w:p>
    <w:p w14:paraId="699DABA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32.1询价小组应当从质量和服务均能满足采购文件实质性响应要求的供应商中，按照报价由低到高的顺序提出3名以上成交候选人，并编写评审报告。</w:t>
      </w:r>
    </w:p>
    <w:p w14:paraId="3A74DB5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32.2报价相同的，按技术指标优劣顺序及节能环保产品金额占比排列；报价相同且技术指标优劣及节能环保产品金额占比相同的由询价小组随机抽取确定排序。</w:t>
      </w:r>
    </w:p>
    <w:p w14:paraId="678BD3FA">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33. 确定成交供应商</w:t>
      </w:r>
    </w:p>
    <w:p w14:paraId="157C7FE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33.1采购代理机构在询价结束后将评审报告送采购人。</w:t>
      </w:r>
    </w:p>
    <w:p w14:paraId="6EF7EC0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33.2采购人收到评审报告后，按照评审报告推荐的成交候选人顺序确定成交供应商。也可以事先授权询价小组直接确定成交供应商。</w:t>
      </w:r>
    </w:p>
    <w:p w14:paraId="31547997">
      <w:pPr>
        <w:pStyle w:val="4"/>
        <w:rPr>
          <w:rFonts w:hint="eastAsia" w:ascii="仿宋" w:hAnsi="仿宋" w:eastAsia="仿宋" w:cs="仿宋"/>
          <w:szCs w:val="24"/>
          <w:highlight w:val="none"/>
        </w:rPr>
      </w:pPr>
      <w:bookmarkStart w:id="128" w:name="_Toc376848254"/>
      <w:bookmarkStart w:id="129" w:name="_Toc463859525"/>
      <w:bookmarkStart w:id="130" w:name="_Toc9823"/>
      <w:bookmarkStart w:id="131" w:name="_Toc475970880"/>
      <w:bookmarkStart w:id="132" w:name="_Toc23108"/>
      <w:bookmarkStart w:id="133" w:name="_Toc30193"/>
      <w:bookmarkStart w:id="134" w:name="_Toc25700"/>
      <w:bookmarkStart w:id="135" w:name="_Toc6959"/>
      <w:bookmarkStart w:id="136" w:name="_Toc11878"/>
      <w:bookmarkStart w:id="137" w:name="_Toc286758340"/>
      <w:r>
        <w:rPr>
          <w:rFonts w:hint="eastAsia" w:ascii="仿宋" w:hAnsi="仿宋" w:eastAsia="仿宋" w:cs="仿宋"/>
          <w:sz w:val="28"/>
          <w:szCs w:val="28"/>
          <w:highlight w:val="none"/>
        </w:rPr>
        <w:t>八、评审结果公示、</w:t>
      </w:r>
      <w:bookmarkEnd w:id="128"/>
      <w:bookmarkEnd w:id="129"/>
      <w:r>
        <w:rPr>
          <w:rFonts w:hint="eastAsia" w:ascii="仿宋" w:hAnsi="仿宋" w:eastAsia="仿宋" w:cs="仿宋"/>
          <w:sz w:val="28"/>
          <w:szCs w:val="28"/>
          <w:highlight w:val="none"/>
        </w:rPr>
        <w:t>质疑</w:t>
      </w:r>
      <w:bookmarkEnd w:id="130"/>
      <w:bookmarkEnd w:id="131"/>
      <w:bookmarkEnd w:id="132"/>
      <w:bookmarkEnd w:id="133"/>
      <w:bookmarkEnd w:id="134"/>
      <w:bookmarkEnd w:id="135"/>
      <w:bookmarkEnd w:id="136"/>
    </w:p>
    <w:bookmarkEnd w:id="137"/>
    <w:p w14:paraId="4D4B4593">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34. 公示</w:t>
      </w:r>
    </w:p>
    <w:p w14:paraId="6708E6F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成交供应商确定后，采购代理机构在吉安职业技术学院官网及江西省招标投标网公告上进行评审结果公示，公示期为1个工作日。</w:t>
      </w:r>
    </w:p>
    <w:p w14:paraId="4D903DEE">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35.质疑</w:t>
      </w:r>
    </w:p>
    <w:p w14:paraId="58FD8BA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35.1 供应商认为询价通知书、采购过程、成交结果使自己的权益受到损害的，可以在知道或者应知其权益受到损害之日起7个工作日内，以书面形式向采购人、采购代理机构提出质疑。</w:t>
      </w:r>
    </w:p>
    <w:p w14:paraId="4443FC0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1）对可以质疑的询价通知书提出质疑的，为询价通知书公告期限届满之日起7个工作日内；</w:t>
      </w:r>
    </w:p>
    <w:p w14:paraId="2BE7EAC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2）对采购过程提出质疑的，为各采购程序环节结束之日起7个工作日内；</w:t>
      </w:r>
    </w:p>
    <w:p w14:paraId="4DE0859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3）对成交结果提出质疑的，为成交结果公告期限届满之日起7个工作日内。</w:t>
      </w:r>
    </w:p>
    <w:p w14:paraId="1FADF21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35.2 供应商应在法定质疑期内一次性提出针对同一采购程序环节的质疑。</w:t>
      </w:r>
    </w:p>
    <w:p w14:paraId="16DFDB5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35.3 提出质疑的供应商应当是参与所质疑项目采购活动的供应商。</w:t>
      </w:r>
    </w:p>
    <w:p w14:paraId="59E72C0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35.4潜在供应商已依法获取其可质疑的询价通知书的，可以对该文件提出质疑。</w:t>
      </w:r>
    </w:p>
    <w:p w14:paraId="009F17D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35.5供应商提出质疑应当提交质疑函和必要的证明材料。质疑函应当包括下列内容（格式参照中国政府采购网 </w:t>
      </w: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"http://www.ccgp.gov.cn/" </w:instrText>
      </w:r>
      <w:r>
        <w:rPr>
          <w:rFonts w:hint="eastAsia" w:ascii="仿宋" w:hAnsi="仿宋" w:eastAsia="仿宋" w:cs="仿宋"/>
          <w:highlight w:val="none"/>
        </w:rPr>
        <w:fldChar w:fldCharType="separate"/>
      </w:r>
      <w:r>
        <w:rPr>
          <w:rFonts w:hint="eastAsia" w:ascii="仿宋" w:hAnsi="仿宋" w:eastAsia="仿宋" w:cs="仿宋"/>
          <w:sz w:val="24"/>
          <w:highlight w:val="none"/>
        </w:rPr>
        <w:t>http://www.ccgp.gov.cn/</w:t>
      </w:r>
      <w:r>
        <w:rPr>
          <w:rFonts w:hint="eastAsia" w:ascii="仿宋" w:hAnsi="仿宋" w:eastAsia="仿宋" w:cs="仿宋"/>
          <w:sz w:val="24"/>
          <w:highlight w:val="none"/>
        </w:rPr>
        <w:fldChar w:fldCharType="end"/>
      </w:r>
      <w:r>
        <w:rPr>
          <w:rFonts w:hint="eastAsia" w:ascii="仿宋" w:hAnsi="仿宋" w:eastAsia="仿宋" w:cs="仿宋"/>
          <w:sz w:val="24"/>
          <w:highlight w:val="none"/>
        </w:rPr>
        <w:t>下载专区的《政府采购供应商质疑函范本》）。（一）供应商的姓名或者名称、地址、邮编、联系人及联系电话；</w:t>
      </w:r>
    </w:p>
    <w:p w14:paraId="758A799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（二）质疑项目的名称、编号；</w:t>
      </w:r>
    </w:p>
    <w:p w14:paraId="0F3957A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（三）具体、明确的质疑事项和与质疑事项相关的请求；</w:t>
      </w:r>
    </w:p>
    <w:p w14:paraId="356235D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（四）事实依据；</w:t>
      </w:r>
    </w:p>
    <w:p w14:paraId="28554CC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（五）必要的法律依据；</w:t>
      </w:r>
    </w:p>
    <w:p w14:paraId="163A643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（六）提出质疑的日期。</w:t>
      </w:r>
    </w:p>
    <w:p w14:paraId="1D6D12B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供应商为自然人的，应当由本人签字按印；供应商为法人或者其他组织的，应当由法定代表人（或经营者）、主要负责人，或者其授权代表签字或者盖章，并加盖公章。</w:t>
      </w:r>
    </w:p>
    <w:p w14:paraId="1F5B786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对不在采购代理机构现场购买的询价通知书质疑的，须同时提供下载询价通知书的凭证。</w:t>
      </w:r>
    </w:p>
    <w:p w14:paraId="1562E47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35.6质疑函接收方式</w:t>
      </w:r>
    </w:p>
    <w:p w14:paraId="136BCC8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35.6.1对询价通知书、采购过程、成交结果质疑</w:t>
      </w:r>
    </w:p>
    <w:p w14:paraId="68188EF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接收部门：江西企恒企业管理有限公司</w:t>
      </w:r>
    </w:p>
    <w:p w14:paraId="580FE73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联系电话：0796-8181718</w:t>
      </w:r>
    </w:p>
    <w:p w14:paraId="235E4FA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通讯地址：吉安市吉州区长冈南路29号二楼。</w:t>
      </w:r>
    </w:p>
    <w:p w14:paraId="74FDA69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邮编：343000</w:t>
      </w:r>
    </w:p>
    <w:p w14:paraId="1D09AE3F">
      <w:pPr>
        <w:pStyle w:val="4"/>
        <w:rPr>
          <w:rFonts w:hint="eastAsia" w:ascii="仿宋" w:hAnsi="仿宋" w:eastAsia="仿宋" w:cs="仿宋"/>
          <w:szCs w:val="24"/>
          <w:highlight w:val="none"/>
        </w:rPr>
      </w:pPr>
      <w:bookmarkStart w:id="138" w:name="_Toc463859526"/>
      <w:bookmarkStart w:id="139" w:name="_Toc27599"/>
      <w:bookmarkStart w:id="140" w:name="_Toc6519"/>
      <w:bookmarkStart w:id="141" w:name="_Toc6257"/>
      <w:bookmarkStart w:id="142" w:name="_Toc18043"/>
      <w:bookmarkStart w:id="143" w:name="_Toc475970881"/>
      <w:bookmarkStart w:id="144" w:name="_Toc25470"/>
      <w:bookmarkStart w:id="145" w:name="_Toc13104"/>
      <w:r>
        <w:rPr>
          <w:rFonts w:hint="eastAsia" w:ascii="仿宋" w:hAnsi="仿宋" w:eastAsia="仿宋" w:cs="仿宋"/>
          <w:sz w:val="28"/>
          <w:szCs w:val="28"/>
          <w:highlight w:val="none"/>
        </w:rPr>
        <w:t>九、</w:t>
      </w:r>
      <w:bookmarkEnd w:id="138"/>
      <w:r>
        <w:rPr>
          <w:rFonts w:hint="eastAsia" w:ascii="仿宋" w:hAnsi="仿宋" w:eastAsia="仿宋" w:cs="仿宋"/>
          <w:sz w:val="28"/>
          <w:szCs w:val="28"/>
          <w:highlight w:val="none"/>
        </w:rPr>
        <w:t>成交通知书、签订合同</w:t>
      </w:r>
      <w:bookmarkEnd w:id="139"/>
      <w:bookmarkEnd w:id="140"/>
      <w:bookmarkEnd w:id="141"/>
      <w:bookmarkEnd w:id="142"/>
      <w:bookmarkEnd w:id="143"/>
      <w:bookmarkEnd w:id="144"/>
      <w:bookmarkEnd w:id="145"/>
    </w:p>
    <w:p w14:paraId="3A935961">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36.成交通知书</w:t>
      </w:r>
    </w:p>
    <w:p w14:paraId="458AD02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35.1采购代理机构公示评审结果，向成交供应商发出成交通知书，并通知所有未成交的供应商。</w:t>
      </w:r>
    </w:p>
    <w:p w14:paraId="7FF3BBB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36.2成交通知书是合同的一个组成部分。</w:t>
      </w:r>
    </w:p>
    <w:p w14:paraId="18C746D7">
      <w:pPr>
        <w:spacing w:line="360" w:lineRule="auto"/>
        <w:ind w:firstLine="482" w:firstLineChars="200"/>
        <w:rPr>
          <w:rFonts w:hint="eastAsia" w:ascii="仿宋" w:hAnsi="仿宋" w:eastAsia="仿宋" w:cs="仿宋"/>
          <w:sz w:val="24"/>
          <w:highlight w:val="none"/>
        </w:rPr>
      </w:pPr>
      <w:bookmarkStart w:id="146" w:name="_Toc225565911"/>
      <w:r>
        <w:rPr>
          <w:rFonts w:hint="eastAsia" w:ascii="仿宋" w:hAnsi="仿宋" w:eastAsia="仿宋" w:cs="仿宋"/>
          <w:b/>
          <w:bCs/>
          <w:sz w:val="24"/>
          <w:highlight w:val="none"/>
        </w:rPr>
        <w:t>37. 签订合同</w:t>
      </w:r>
      <w:bookmarkEnd w:id="146"/>
    </w:p>
    <w:p w14:paraId="2388FB3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37.1 成交供应商应按成交通知书规定的时间、地点与采购人签订合同，否则按询价有效期内撤回其响应文件处理。</w:t>
      </w:r>
    </w:p>
    <w:p w14:paraId="0FBA78C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37.2 询价通知书、成交供应商的响应文件及询价过程中有关澄清文件均应作为签订合同的依据。</w:t>
      </w:r>
    </w:p>
    <w:p w14:paraId="3455F9A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37.3 合同履行中，采购人需追加与合同标的相同的货物的，在不改变合同其他条款的前提下，可以与供应商协商签订补充合同，但所有补充合同的采购金额不得超过原合同采购金额的百分之十。</w:t>
      </w:r>
    </w:p>
    <w:p w14:paraId="3839496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37.4成交供应商拒绝签订政府采购合同的，采购人可以按本须知“第32条”规定的原则确定下一个候选人为成交供应商，也可以重新开展政府采购活动。拒绝签订政府采购合同的成交供应商不得参加该项目重新开展的采购活动，并不予退还其交纳的询价保证金。</w:t>
      </w:r>
    </w:p>
    <w:p w14:paraId="7DE45829">
      <w:pPr>
        <w:pStyle w:val="4"/>
        <w:rPr>
          <w:rFonts w:hint="eastAsia" w:ascii="仿宋" w:hAnsi="仿宋" w:eastAsia="仿宋" w:cs="仿宋"/>
          <w:szCs w:val="24"/>
          <w:highlight w:val="none"/>
        </w:rPr>
      </w:pPr>
      <w:bookmarkStart w:id="147" w:name="_Toc225565912"/>
      <w:bookmarkStart w:id="148" w:name="_Toc20768"/>
      <w:bookmarkStart w:id="149" w:name="_Toc475970882"/>
      <w:bookmarkStart w:id="150" w:name="_Toc21699"/>
      <w:bookmarkStart w:id="151" w:name="_Toc12358"/>
      <w:bookmarkStart w:id="152" w:name="_Toc10945"/>
      <w:bookmarkStart w:id="153" w:name="_Toc15274"/>
      <w:bookmarkStart w:id="154" w:name="_Toc26994"/>
      <w:r>
        <w:rPr>
          <w:rFonts w:hint="eastAsia" w:ascii="仿宋" w:hAnsi="仿宋" w:eastAsia="仿宋" w:cs="仿宋"/>
          <w:sz w:val="28"/>
          <w:szCs w:val="28"/>
          <w:highlight w:val="none"/>
        </w:rPr>
        <w:t>十、 采购代理服务费</w:t>
      </w:r>
      <w:bookmarkEnd w:id="147"/>
      <w:r>
        <w:rPr>
          <w:rFonts w:hint="eastAsia" w:ascii="仿宋" w:hAnsi="仿宋" w:eastAsia="仿宋" w:cs="仿宋"/>
          <w:sz w:val="28"/>
          <w:szCs w:val="28"/>
          <w:highlight w:val="none"/>
        </w:rPr>
        <w:t>、履约保证金</w:t>
      </w:r>
      <w:bookmarkEnd w:id="148"/>
      <w:bookmarkEnd w:id="149"/>
      <w:bookmarkEnd w:id="150"/>
      <w:bookmarkEnd w:id="151"/>
      <w:bookmarkEnd w:id="152"/>
      <w:bookmarkEnd w:id="153"/>
      <w:bookmarkEnd w:id="154"/>
    </w:p>
    <w:p w14:paraId="44B6E8D9">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38. 采购代理服务费</w:t>
      </w:r>
    </w:p>
    <w:p w14:paraId="78EEBBC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38.1成交供应商在领取成交通知书时，须向采购代理机构缴纳“供应商须知前附表”规定的采购代理服务费。在领取采购代理服务费发票时提供一份采购合同。</w:t>
      </w:r>
    </w:p>
    <w:p w14:paraId="6392328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38.2采购代理服务费采用银行转账、支票、汇票、本票现金等采购代理机构认可的形式交纳。</w:t>
      </w:r>
    </w:p>
    <w:p w14:paraId="21C85C5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账户名：江西企恒企业管理有限公司</w:t>
      </w:r>
    </w:p>
    <w:p w14:paraId="4DA7F0E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开户银行：中国建设银行股份有限公司吉安吉州支行</w:t>
      </w:r>
    </w:p>
    <w:p w14:paraId="01EF05E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账号：36050184015200000460</w:t>
      </w:r>
    </w:p>
    <w:p w14:paraId="7C114AF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38.3 成交供应商如未按第37.1条规定办理，采购代理机构将按第16.5条规定不予退还其询价保证金。</w:t>
      </w:r>
    </w:p>
    <w:p w14:paraId="74F2291C">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39. 履约保证金</w:t>
      </w:r>
    </w:p>
    <w:p w14:paraId="1673892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39.1成交供应商在与采购人签订采购合同之前，向采购人提交“供应商须知前附表”规定的履约保证金。履约保证金按采购人的要求汇入采购人指定账户。</w:t>
      </w:r>
    </w:p>
    <w:p w14:paraId="622AC1D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39.2 履约保证金用于补偿因成交供应商不能完成其合同义务而使采购人蒙受的损失。</w:t>
      </w:r>
    </w:p>
    <w:p w14:paraId="79D217D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39.3如果成交供应商没有按本须知“第38.1条”规定执行，被视为成交供应商拒绝签订政府采购合同，按本须知“第36.4条”规定执行。</w:t>
      </w:r>
    </w:p>
    <w:p w14:paraId="099CA0D2">
      <w:pPr>
        <w:pStyle w:val="4"/>
        <w:rPr>
          <w:rFonts w:hint="eastAsia" w:ascii="仿宋" w:hAnsi="仿宋" w:eastAsia="仿宋" w:cs="仿宋"/>
          <w:szCs w:val="24"/>
          <w:highlight w:val="none"/>
        </w:rPr>
      </w:pPr>
      <w:bookmarkStart w:id="155" w:name="_Toc475970883"/>
      <w:bookmarkStart w:id="156" w:name="_Toc10408"/>
      <w:bookmarkStart w:id="157" w:name="_Toc11696"/>
      <w:bookmarkStart w:id="158" w:name="_Toc21664"/>
      <w:bookmarkStart w:id="159" w:name="_Toc376848257"/>
      <w:bookmarkStart w:id="160" w:name="_Toc377117016"/>
      <w:bookmarkStart w:id="161" w:name="_Toc8417"/>
      <w:bookmarkStart w:id="162" w:name="_Toc15522"/>
      <w:bookmarkStart w:id="163" w:name="_Toc386209620"/>
      <w:bookmarkStart w:id="164" w:name="_Toc13911"/>
      <w:bookmarkStart w:id="165" w:name="_Toc245611283"/>
      <w:r>
        <w:rPr>
          <w:rFonts w:hint="eastAsia" w:ascii="仿宋" w:hAnsi="仿宋" w:eastAsia="仿宋" w:cs="仿宋"/>
          <w:sz w:val="28"/>
          <w:szCs w:val="28"/>
          <w:highlight w:val="none"/>
        </w:rPr>
        <w:t>十一、附则</w:t>
      </w:r>
      <w:bookmarkEnd w:id="155"/>
      <w:bookmarkEnd w:id="156"/>
      <w:bookmarkEnd w:id="157"/>
      <w:bookmarkEnd w:id="158"/>
      <w:bookmarkEnd w:id="159"/>
      <w:bookmarkEnd w:id="160"/>
      <w:bookmarkEnd w:id="161"/>
      <w:bookmarkEnd w:id="162"/>
      <w:bookmarkEnd w:id="163"/>
      <w:bookmarkEnd w:id="164"/>
    </w:p>
    <w:p w14:paraId="5BBE22C8">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40. 解释权</w:t>
      </w:r>
      <w:bookmarkEnd w:id="165"/>
    </w:p>
    <w:p w14:paraId="238D12E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40.1本询价通知书是根据国家有关法律、法规以及政府采购管理有关规定编制，解释权属江西企恒企业管理有限公司。</w:t>
      </w:r>
    </w:p>
    <w:p w14:paraId="7453486D">
      <w:pPr>
        <w:rPr>
          <w:rFonts w:hint="eastAsia" w:ascii="仿宋" w:hAnsi="仿宋" w:eastAsia="仿宋" w:cs="仿宋"/>
          <w:highlight w:val="none"/>
        </w:rPr>
      </w:pPr>
      <w:r>
        <w:rPr>
          <w:rFonts w:hint="eastAsia" w:ascii="仿宋" w:hAnsi="仿宋" w:eastAsia="仿宋" w:cs="仿宋"/>
          <w:sz w:val="24"/>
          <w:highlight w:val="none"/>
        </w:rPr>
        <w:br w:type="page"/>
      </w:r>
    </w:p>
    <w:p w14:paraId="35849F58">
      <w:pPr>
        <w:rPr>
          <w:rFonts w:hint="eastAsia" w:ascii="仿宋" w:hAnsi="仿宋" w:eastAsia="仿宋" w:cs="仿宋"/>
          <w:sz w:val="24"/>
          <w:highlight w:val="none"/>
        </w:rPr>
      </w:pPr>
    </w:p>
    <w:p w14:paraId="04B0EBB0">
      <w:pPr>
        <w:pStyle w:val="3"/>
        <w:rPr>
          <w:rFonts w:hint="eastAsia" w:ascii="仿宋" w:hAnsi="仿宋" w:eastAsia="仿宋" w:cs="仿宋"/>
          <w:highlight w:val="none"/>
        </w:rPr>
      </w:pPr>
      <w:bookmarkStart w:id="166" w:name="_Toc16433"/>
      <w:bookmarkStart w:id="167" w:name="_Toc21934"/>
      <w:bookmarkStart w:id="168" w:name="_Toc2525"/>
      <w:bookmarkStart w:id="169" w:name="_Toc19912"/>
      <w:bookmarkStart w:id="170" w:name="_Toc1052"/>
      <w:bookmarkStart w:id="171" w:name="_Toc12087"/>
      <w:r>
        <w:rPr>
          <w:rFonts w:hint="eastAsia" w:ascii="仿宋" w:hAnsi="仿宋" w:eastAsia="仿宋" w:cs="仿宋"/>
          <w:sz w:val="32"/>
          <w:szCs w:val="32"/>
          <w:highlight w:val="none"/>
        </w:rPr>
        <w:t>第三章、拟签订的合同文</w:t>
      </w:r>
      <w:bookmarkEnd w:id="166"/>
      <w:bookmarkEnd w:id="167"/>
      <w:bookmarkEnd w:id="168"/>
      <w:r>
        <w:rPr>
          <w:rFonts w:hint="eastAsia" w:ascii="仿宋" w:hAnsi="仿宋" w:eastAsia="仿宋" w:cs="仿宋"/>
          <w:sz w:val="32"/>
          <w:szCs w:val="32"/>
          <w:highlight w:val="none"/>
        </w:rPr>
        <w:t>本</w:t>
      </w:r>
      <w:bookmarkEnd w:id="169"/>
      <w:bookmarkEnd w:id="170"/>
      <w:bookmarkEnd w:id="171"/>
    </w:p>
    <w:p w14:paraId="7BF4D7DE">
      <w:pPr>
        <w:pStyle w:val="16"/>
        <w:widowControl/>
        <w:spacing w:before="312" w:after="312" w:line="520" w:lineRule="exact"/>
        <w:jc w:val="center"/>
        <w:textAlignment w:val="baseline"/>
        <w:rPr>
          <w:rFonts w:hint="eastAsia" w:ascii="仿宋" w:hAnsi="仿宋" w:eastAsia="仿宋" w:cs="仿宋"/>
          <w:sz w:val="44"/>
          <w:szCs w:val="44"/>
          <w:highlight w:val="none"/>
        </w:rPr>
      </w:pPr>
      <w:r>
        <w:rPr>
          <w:rFonts w:hint="eastAsia" w:ascii="仿宋" w:hAnsi="仿宋" w:eastAsia="仿宋" w:cs="仿宋"/>
          <w:sz w:val="44"/>
          <w:szCs w:val="44"/>
          <w:highlight w:val="none"/>
        </w:rPr>
        <w:t>吉安职业技术学院采购合同模板（货物类）</w:t>
      </w:r>
    </w:p>
    <w:p w14:paraId="2B1BE1BE">
      <w:pPr>
        <w:spacing w:line="480" w:lineRule="exact"/>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甲方（采购方）：吉安职业技术学院</w:t>
      </w:r>
    </w:p>
    <w:p w14:paraId="5C198F8A">
      <w:pPr>
        <w:spacing w:line="480" w:lineRule="exact"/>
        <w:jc w:val="left"/>
        <w:rPr>
          <w:rFonts w:hint="eastAsia" w:ascii="仿宋" w:hAnsi="仿宋" w:eastAsia="仿宋" w:cs="仿宋"/>
          <w:b/>
          <w:bCs/>
          <w:color w:val="FF0000"/>
          <w:sz w:val="28"/>
          <w:szCs w:val="28"/>
          <w:highlight w:val="none"/>
        </w:rPr>
      </w:pPr>
      <w:r>
        <w:rPr>
          <w:rFonts w:hint="eastAsia" w:ascii="仿宋" w:hAnsi="仿宋" w:eastAsia="仿宋" w:cs="仿宋"/>
          <w:b/>
          <w:bCs/>
          <w:sz w:val="28"/>
          <w:szCs w:val="28"/>
          <w:highlight w:val="none"/>
        </w:rPr>
        <w:t xml:space="preserve">乙方（供应方）：                            </w:t>
      </w:r>
    </w:p>
    <w:p w14:paraId="411276DF">
      <w:pPr>
        <w:pStyle w:val="8"/>
        <w:spacing w:line="480" w:lineRule="exact"/>
        <w:ind w:firstLine="560" w:firstLineChars="200"/>
        <w:jc w:val="both"/>
        <w:rPr>
          <w:rFonts w:hint="eastAsia" w:ascii="仿宋" w:hAnsi="仿宋" w:eastAsia="仿宋" w:cs="仿宋"/>
          <w:sz w:val="28"/>
          <w:szCs w:val="28"/>
          <w:highlight w:val="none"/>
        </w:rPr>
      </w:pPr>
      <w:r>
        <w:rPr>
          <w:rFonts w:hint="eastAsia" w:ascii="仿宋" w:hAnsi="仿宋" w:eastAsia="仿宋" w:cs="仿宋"/>
          <w:sz w:val="28"/>
          <w:szCs w:val="28"/>
          <w:highlight w:val="none"/>
        </w:rPr>
        <w:t>根据《中华人民共和国政府采购法》《中华人民共和国民法典》及招标文件的要求，经双方协商一致，签订本合同。技术说明及其他有关合同货物的特定信息由合同附件予以说明，所有附件及本项目的招投标文件、会议纪要、协议等均为本合同不可分割之一部分。</w:t>
      </w:r>
    </w:p>
    <w:p w14:paraId="7F05E3A5">
      <w:pPr>
        <w:pStyle w:val="8"/>
        <w:spacing w:line="480"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第一条  项目名称</w:t>
      </w:r>
    </w:p>
    <w:p w14:paraId="73C71140">
      <w:pPr>
        <w:pStyle w:val="8"/>
        <w:spacing w:line="480" w:lineRule="exact"/>
        <w:ind w:firstLine="560" w:firstLineChars="200"/>
        <w:jc w:val="both"/>
        <w:rPr>
          <w:rFonts w:hint="eastAsia" w:ascii="仿宋" w:hAnsi="仿宋" w:eastAsia="仿宋" w:cs="仿宋"/>
          <w:sz w:val="28"/>
          <w:szCs w:val="28"/>
          <w:highlight w:val="none"/>
        </w:rPr>
      </w:pPr>
      <w:r>
        <w:rPr>
          <w:rFonts w:hint="eastAsia" w:ascii="仿宋" w:hAnsi="仿宋" w:eastAsia="仿宋" w:cs="仿宋"/>
          <w:sz w:val="28"/>
          <w:szCs w:val="28"/>
          <w:highlight w:val="none"/>
        </w:rPr>
        <w:t>1.项目名称：</w:t>
      </w:r>
    </w:p>
    <w:p w14:paraId="7F4AAFAB">
      <w:pPr>
        <w:pStyle w:val="8"/>
        <w:spacing w:line="480" w:lineRule="exact"/>
        <w:ind w:firstLine="560" w:firstLineChars="200"/>
        <w:jc w:val="both"/>
        <w:rPr>
          <w:rFonts w:hint="eastAsia" w:ascii="仿宋" w:hAnsi="仿宋" w:eastAsia="仿宋" w:cs="仿宋"/>
          <w:sz w:val="28"/>
          <w:szCs w:val="28"/>
          <w:highlight w:val="none"/>
        </w:rPr>
      </w:pPr>
      <w:r>
        <w:rPr>
          <w:rFonts w:hint="eastAsia" w:ascii="仿宋" w:hAnsi="仿宋" w:eastAsia="仿宋" w:cs="仿宋"/>
          <w:sz w:val="28"/>
          <w:szCs w:val="28"/>
          <w:highlight w:val="none"/>
        </w:rPr>
        <w:t>2.招标编号：</w:t>
      </w:r>
    </w:p>
    <w:p w14:paraId="485F469F">
      <w:pPr>
        <w:pStyle w:val="8"/>
        <w:spacing w:line="480" w:lineRule="exact"/>
        <w:ind w:firstLine="562" w:firstLineChars="200"/>
        <w:rPr>
          <w:rFonts w:hint="eastAsia" w:ascii="仿宋" w:hAnsi="仿宋" w:eastAsia="仿宋" w:cs="仿宋"/>
          <w:b/>
          <w:bCs/>
          <w:sz w:val="28"/>
          <w:szCs w:val="28"/>
          <w:highlight w:val="none"/>
        </w:rPr>
      </w:pPr>
      <w:r>
        <w:rPr>
          <w:rFonts w:hint="eastAsia" w:ascii="仿宋" w:hAnsi="仿宋" w:eastAsia="仿宋" w:cs="仿宋"/>
          <w:b/>
          <w:sz w:val="28"/>
          <w:szCs w:val="28"/>
          <w:highlight w:val="none"/>
        </w:rPr>
        <w:t xml:space="preserve">第二条  </w:t>
      </w:r>
      <w:r>
        <w:rPr>
          <w:rFonts w:hint="eastAsia" w:ascii="仿宋" w:hAnsi="仿宋" w:eastAsia="仿宋" w:cs="仿宋"/>
          <w:b/>
          <w:bCs/>
          <w:sz w:val="28"/>
          <w:szCs w:val="28"/>
          <w:highlight w:val="none"/>
        </w:rPr>
        <w:t>货物采购清单</w:t>
      </w:r>
    </w:p>
    <w:tbl>
      <w:tblPr>
        <w:tblStyle w:val="20"/>
        <w:tblW w:w="5228" w:type="pct"/>
        <w:tblInd w:w="-1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1268"/>
        <w:gridCol w:w="1218"/>
        <w:gridCol w:w="945"/>
        <w:gridCol w:w="1218"/>
        <w:gridCol w:w="754"/>
        <w:gridCol w:w="729"/>
        <w:gridCol w:w="707"/>
        <w:gridCol w:w="1301"/>
      </w:tblGrid>
      <w:tr w14:paraId="07E4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Align w:val="center"/>
          </w:tcPr>
          <w:p w14:paraId="1F4501C5">
            <w:pPr>
              <w:pStyle w:val="27"/>
              <w:spacing w:line="440" w:lineRule="exact"/>
              <w:jc w:val="center"/>
              <w:rPr>
                <w:rFonts w:hint="eastAsia" w:ascii="仿宋" w:hAnsi="仿宋" w:eastAsia="仿宋" w:cs="仿宋"/>
                <w:highlight w:val="none"/>
              </w:rPr>
            </w:pPr>
            <w:r>
              <w:rPr>
                <w:rFonts w:hint="eastAsia" w:ascii="仿宋" w:hAnsi="仿宋" w:eastAsia="仿宋" w:cs="仿宋"/>
                <w:highlight w:val="none"/>
              </w:rPr>
              <w:t>序号</w:t>
            </w:r>
          </w:p>
        </w:tc>
        <w:tc>
          <w:tcPr>
            <w:tcW w:w="711" w:type="pct"/>
            <w:vAlign w:val="center"/>
          </w:tcPr>
          <w:p w14:paraId="700E7997">
            <w:pPr>
              <w:pStyle w:val="27"/>
              <w:spacing w:line="440" w:lineRule="exact"/>
              <w:jc w:val="center"/>
              <w:rPr>
                <w:rFonts w:hint="eastAsia" w:ascii="仿宋" w:hAnsi="仿宋" w:eastAsia="仿宋" w:cs="仿宋"/>
                <w:highlight w:val="none"/>
              </w:rPr>
            </w:pPr>
            <w:r>
              <w:rPr>
                <w:rFonts w:hint="eastAsia" w:ascii="仿宋" w:hAnsi="仿宋" w:eastAsia="仿宋" w:cs="仿宋"/>
                <w:highlight w:val="none"/>
              </w:rPr>
              <w:t>货物名称</w:t>
            </w:r>
          </w:p>
        </w:tc>
        <w:tc>
          <w:tcPr>
            <w:tcW w:w="683" w:type="pct"/>
            <w:vAlign w:val="center"/>
          </w:tcPr>
          <w:p w14:paraId="5C5B6222">
            <w:pPr>
              <w:pStyle w:val="27"/>
              <w:spacing w:line="440" w:lineRule="exact"/>
              <w:jc w:val="center"/>
              <w:rPr>
                <w:rFonts w:hint="eastAsia" w:ascii="仿宋" w:hAnsi="仿宋" w:eastAsia="仿宋" w:cs="仿宋"/>
                <w:highlight w:val="none"/>
              </w:rPr>
            </w:pPr>
            <w:r>
              <w:rPr>
                <w:rFonts w:hint="eastAsia" w:ascii="仿宋" w:hAnsi="仿宋" w:eastAsia="仿宋" w:cs="仿宋"/>
                <w:highlight w:val="none"/>
              </w:rPr>
              <w:t>规格型号</w:t>
            </w:r>
          </w:p>
        </w:tc>
        <w:tc>
          <w:tcPr>
            <w:tcW w:w="530" w:type="pct"/>
            <w:vAlign w:val="center"/>
          </w:tcPr>
          <w:p w14:paraId="16C333FE">
            <w:pPr>
              <w:pStyle w:val="27"/>
              <w:spacing w:line="440" w:lineRule="exact"/>
              <w:jc w:val="center"/>
              <w:rPr>
                <w:rFonts w:hint="eastAsia" w:ascii="仿宋" w:hAnsi="仿宋" w:eastAsia="仿宋" w:cs="仿宋"/>
                <w:highlight w:val="none"/>
              </w:rPr>
            </w:pPr>
            <w:r>
              <w:rPr>
                <w:rFonts w:hint="eastAsia" w:ascii="仿宋" w:hAnsi="仿宋" w:eastAsia="仿宋" w:cs="仿宋"/>
                <w:highlight w:val="none"/>
              </w:rPr>
              <w:t>原产国</w:t>
            </w:r>
          </w:p>
        </w:tc>
        <w:tc>
          <w:tcPr>
            <w:tcW w:w="683" w:type="pct"/>
            <w:vAlign w:val="center"/>
          </w:tcPr>
          <w:p w14:paraId="46A5F61A">
            <w:pPr>
              <w:pStyle w:val="27"/>
              <w:spacing w:line="440" w:lineRule="exact"/>
              <w:jc w:val="center"/>
              <w:rPr>
                <w:rFonts w:hint="eastAsia" w:ascii="仿宋" w:hAnsi="仿宋" w:eastAsia="仿宋" w:cs="仿宋"/>
                <w:highlight w:val="none"/>
              </w:rPr>
            </w:pPr>
            <w:r>
              <w:rPr>
                <w:rFonts w:hint="eastAsia" w:ascii="仿宋" w:hAnsi="仿宋" w:eastAsia="仿宋" w:cs="仿宋"/>
                <w:highlight w:val="none"/>
              </w:rPr>
              <w:t>生产厂商</w:t>
            </w:r>
          </w:p>
        </w:tc>
        <w:tc>
          <w:tcPr>
            <w:tcW w:w="423" w:type="pct"/>
            <w:vAlign w:val="center"/>
          </w:tcPr>
          <w:p w14:paraId="2CF4901C">
            <w:pPr>
              <w:pStyle w:val="27"/>
              <w:spacing w:line="440" w:lineRule="exact"/>
              <w:jc w:val="center"/>
              <w:rPr>
                <w:rFonts w:hint="eastAsia" w:ascii="仿宋" w:hAnsi="仿宋" w:eastAsia="仿宋" w:cs="仿宋"/>
                <w:highlight w:val="none"/>
              </w:rPr>
            </w:pPr>
            <w:r>
              <w:rPr>
                <w:rFonts w:hint="eastAsia" w:ascii="仿宋" w:hAnsi="仿宋" w:eastAsia="仿宋" w:cs="仿宋"/>
                <w:highlight w:val="none"/>
              </w:rPr>
              <w:t>单位</w:t>
            </w:r>
          </w:p>
        </w:tc>
        <w:tc>
          <w:tcPr>
            <w:tcW w:w="409" w:type="pct"/>
            <w:vAlign w:val="center"/>
          </w:tcPr>
          <w:p w14:paraId="5C60DAE8">
            <w:pPr>
              <w:pStyle w:val="27"/>
              <w:spacing w:line="440" w:lineRule="exact"/>
              <w:jc w:val="center"/>
              <w:rPr>
                <w:rFonts w:hint="eastAsia" w:ascii="仿宋" w:hAnsi="仿宋" w:eastAsia="仿宋" w:cs="仿宋"/>
                <w:highlight w:val="none"/>
              </w:rPr>
            </w:pPr>
            <w:r>
              <w:rPr>
                <w:rFonts w:hint="eastAsia" w:ascii="仿宋" w:hAnsi="仿宋" w:eastAsia="仿宋" w:cs="仿宋"/>
                <w:highlight w:val="none"/>
              </w:rPr>
              <w:t>数量</w:t>
            </w:r>
          </w:p>
        </w:tc>
        <w:tc>
          <w:tcPr>
            <w:tcW w:w="396" w:type="pct"/>
            <w:vAlign w:val="center"/>
          </w:tcPr>
          <w:p w14:paraId="181C0972">
            <w:pPr>
              <w:pStyle w:val="27"/>
              <w:spacing w:line="440" w:lineRule="exact"/>
              <w:jc w:val="center"/>
              <w:rPr>
                <w:rFonts w:hint="eastAsia" w:ascii="仿宋" w:hAnsi="仿宋" w:eastAsia="仿宋" w:cs="仿宋"/>
                <w:highlight w:val="none"/>
              </w:rPr>
            </w:pPr>
            <w:r>
              <w:rPr>
                <w:rFonts w:hint="eastAsia" w:ascii="仿宋" w:hAnsi="仿宋" w:eastAsia="仿宋" w:cs="仿宋"/>
                <w:highlight w:val="none"/>
              </w:rPr>
              <w:t>单价</w:t>
            </w:r>
          </w:p>
        </w:tc>
        <w:tc>
          <w:tcPr>
            <w:tcW w:w="729" w:type="pct"/>
            <w:vAlign w:val="center"/>
          </w:tcPr>
          <w:p w14:paraId="6C6CBD6F">
            <w:pPr>
              <w:pStyle w:val="27"/>
              <w:spacing w:line="440" w:lineRule="exact"/>
              <w:jc w:val="center"/>
              <w:rPr>
                <w:rFonts w:hint="eastAsia" w:ascii="仿宋" w:hAnsi="仿宋" w:eastAsia="仿宋" w:cs="仿宋"/>
                <w:highlight w:val="none"/>
              </w:rPr>
            </w:pPr>
            <w:r>
              <w:rPr>
                <w:rFonts w:hint="eastAsia" w:ascii="仿宋" w:hAnsi="仿宋" w:eastAsia="仿宋" w:cs="仿宋"/>
                <w:highlight w:val="none"/>
              </w:rPr>
              <w:t>单项合计</w:t>
            </w:r>
          </w:p>
        </w:tc>
      </w:tr>
      <w:tr w14:paraId="0022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Align w:val="center"/>
          </w:tcPr>
          <w:p w14:paraId="2A74E782">
            <w:pPr>
              <w:widowControl/>
              <w:spacing w:line="440" w:lineRule="exact"/>
              <w:ind w:right="480"/>
              <w:jc w:val="center"/>
              <w:rPr>
                <w:rFonts w:hint="eastAsia" w:ascii="仿宋" w:hAnsi="仿宋" w:eastAsia="仿宋" w:cs="仿宋"/>
                <w:color w:val="000000"/>
                <w:kern w:val="0"/>
                <w:sz w:val="24"/>
                <w:highlight w:val="none"/>
              </w:rPr>
            </w:pPr>
          </w:p>
        </w:tc>
        <w:tc>
          <w:tcPr>
            <w:tcW w:w="711" w:type="pct"/>
            <w:vAlign w:val="center"/>
          </w:tcPr>
          <w:p w14:paraId="327002EC">
            <w:pPr>
              <w:widowControl/>
              <w:spacing w:line="440" w:lineRule="exact"/>
              <w:ind w:right="480"/>
              <w:jc w:val="center"/>
              <w:rPr>
                <w:rFonts w:hint="eastAsia" w:ascii="仿宋" w:hAnsi="仿宋" w:eastAsia="仿宋" w:cs="仿宋"/>
                <w:color w:val="000000"/>
                <w:kern w:val="0"/>
                <w:sz w:val="24"/>
                <w:highlight w:val="none"/>
              </w:rPr>
            </w:pPr>
          </w:p>
        </w:tc>
        <w:tc>
          <w:tcPr>
            <w:tcW w:w="683" w:type="pct"/>
            <w:vAlign w:val="center"/>
          </w:tcPr>
          <w:p w14:paraId="2A9BD6BD">
            <w:pPr>
              <w:widowControl/>
              <w:spacing w:line="440" w:lineRule="exact"/>
              <w:ind w:right="480"/>
              <w:jc w:val="center"/>
              <w:rPr>
                <w:rFonts w:hint="eastAsia" w:ascii="仿宋" w:hAnsi="仿宋" w:eastAsia="仿宋" w:cs="仿宋"/>
                <w:color w:val="000000"/>
                <w:kern w:val="0"/>
                <w:sz w:val="24"/>
                <w:highlight w:val="none"/>
              </w:rPr>
            </w:pPr>
          </w:p>
        </w:tc>
        <w:tc>
          <w:tcPr>
            <w:tcW w:w="530" w:type="pct"/>
            <w:vAlign w:val="center"/>
          </w:tcPr>
          <w:p w14:paraId="240B8DF4">
            <w:pPr>
              <w:widowControl/>
              <w:spacing w:line="440" w:lineRule="exact"/>
              <w:ind w:right="480"/>
              <w:jc w:val="center"/>
              <w:rPr>
                <w:rFonts w:hint="eastAsia" w:ascii="仿宋" w:hAnsi="仿宋" w:eastAsia="仿宋" w:cs="仿宋"/>
                <w:color w:val="000000"/>
                <w:kern w:val="0"/>
                <w:sz w:val="24"/>
                <w:highlight w:val="none"/>
              </w:rPr>
            </w:pPr>
          </w:p>
        </w:tc>
        <w:tc>
          <w:tcPr>
            <w:tcW w:w="683" w:type="pct"/>
            <w:vAlign w:val="center"/>
          </w:tcPr>
          <w:p w14:paraId="0333CE5F">
            <w:pPr>
              <w:widowControl/>
              <w:spacing w:line="440" w:lineRule="exact"/>
              <w:ind w:right="480"/>
              <w:jc w:val="center"/>
              <w:rPr>
                <w:rFonts w:hint="eastAsia" w:ascii="仿宋" w:hAnsi="仿宋" w:eastAsia="仿宋" w:cs="仿宋"/>
                <w:color w:val="000000"/>
                <w:kern w:val="0"/>
                <w:sz w:val="24"/>
                <w:highlight w:val="none"/>
              </w:rPr>
            </w:pPr>
          </w:p>
        </w:tc>
        <w:tc>
          <w:tcPr>
            <w:tcW w:w="423" w:type="pct"/>
            <w:vAlign w:val="center"/>
          </w:tcPr>
          <w:p w14:paraId="5851D5DE">
            <w:pPr>
              <w:widowControl/>
              <w:spacing w:line="440" w:lineRule="exact"/>
              <w:ind w:right="480"/>
              <w:jc w:val="center"/>
              <w:rPr>
                <w:rFonts w:hint="eastAsia" w:ascii="仿宋" w:hAnsi="仿宋" w:eastAsia="仿宋" w:cs="仿宋"/>
                <w:color w:val="000000"/>
                <w:kern w:val="0"/>
                <w:sz w:val="24"/>
                <w:highlight w:val="none"/>
              </w:rPr>
            </w:pPr>
          </w:p>
        </w:tc>
        <w:tc>
          <w:tcPr>
            <w:tcW w:w="409" w:type="pct"/>
            <w:vAlign w:val="center"/>
          </w:tcPr>
          <w:p w14:paraId="5253D468">
            <w:pPr>
              <w:widowControl/>
              <w:spacing w:line="440" w:lineRule="exact"/>
              <w:ind w:right="480"/>
              <w:jc w:val="center"/>
              <w:rPr>
                <w:rFonts w:hint="eastAsia" w:ascii="仿宋" w:hAnsi="仿宋" w:eastAsia="仿宋" w:cs="仿宋"/>
                <w:color w:val="000000"/>
                <w:kern w:val="0"/>
                <w:sz w:val="24"/>
                <w:highlight w:val="none"/>
              </w:rPr>
            </w:pPr>
          </w:p>
        </w:tc>
        <w:tc>
          <w:tcPr>
            <w:tcW w:w="396" w:type="pct"/>
            <w:vAlign w:val="center"/>
          </w:tcPr>
          <w:p w14:paraId="1087CB07">
            <w:pPr>
              <w:widowControl/>
              <w:spacing w:line="440" w:lineRule="exact"/>
              <w:ind w:right="480"/>
              <w:jc w:val="center"/>
              <w:rPr>
                <w:rFonts w:hint="eastAsia" w:ascii="仿宋" w:hAnsi="仿宋" w:eastAsia="仿宋" w:cs="仿宋"/>
                <w:color w:val="000000"/>
                <w:kern w:val="0"/>
                <w:sz w:val="24"/>
                <w:highlight w:val="none"/>
              </w:rPr>
            </w:pPr>
          </w:p>
        </w:tc>
        <w:tc>
          <w:tcPr>
            <w:tcW w:w="729" w:type="pct"/>
            <w:vAlign w:val="center"/>
          </w:tcPr>
          <w:p w14:paraId="1CB4C34B">
            <w:pPr>
              <w:widowControl/>
              <w:spacing w:line="440" w:lineRule="exact"/>
              <w:ind w:right="480"/>
              <w:jc w:val="center"/>
              <w:rPr>
                <w:rFonts w:hint="eastAsia" w:ascii="仿宋" w:hAnsi="仿宋" w:eastAsia="仿宋" w:cs="仿宋"/>
                <w:color w:val="000000"/>
                <w:kern w:val="0"/>
                <w:sz w:val="24"/>
                <w:highlight w:val="none"/>
              </w:rPr>
            </w:pPr>
          </w:p>
        </w:tc>
      </w:tr>
      <w:tr w14:paraId="5BC0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Align w:val="center"/>
          </w:tcPr>
          <w:p w14:paraId="1C23B624">
            <w:pPr>
              <w:widowControl/>
              <w:spacing w:line="440" w:lineRule="exact"/>
              <w:ind w:right="480"/>
              <w:jc w:val="center"/>
              <w:rPr>
                <w:rFonts w:hint="eastAsia" w:ascii="仿宋" w:hAnsi="仿宋" w:eastAsia="仿宋" w:cs="仿宋"/>
                <w:color w:val="000000"/>
                <w:kern w:val="0"/>
                <w:sz w:val="24"/>
                <w:highlight w:val="none"/>
              </w:rPr>
            </w:pPr>
          </w:p>
        </w:tc>
        <w:tc>
          <w:tcPr>
            <w:tcW w:w="711" w:type="pct"/>
            <w:vAlign w:val="center"/>
          </w:tcPr>
          <w:p w14:paraId="130243DD">
            <w:pPr>
              <w:widowControl/>
              <w:spacing w:line="440" w:lineRule="exact"/>
              <w:ind w:right="480"/>
              <w:jc w:val="center"/>
              <w:rPr>
                <w:rFonts w:hint="eastAsia" w:ascii="仿宋" w:hAnsi="仿宋" w:eastAsia="仿宋" w:cs="仿宋"/>
                <w:color w:val="000000"/>
                <w:kern w:val="0"/>
                <w:sz w:val="24"/>
                <w:highlight w:val="none"/>
              </w:rPr>
            </w:pPr>
          </w:p>
        </w:tc>
        <w:tc>
          <w:tcPr>
            <w:tcW w:w="683" w:type="pct"/>
            <w:vAlign w:val="center"/>
          </w:tcPr>
          <w:p w14:paraId="0B875857">
            <w:pPr>
              <w:widowControl/>
              <w:spacing w:line="440" w:lineRule="exact"/>
              <w:ind w:right="480"/>
              <w:jc w:val="center"/>
              <w:rPr>
                <w:rFonts w:hint="eastAsia" w:ascii="仿宋" w:hAnsi="仿宋" w:eastAsia="仿宋" w:cs="仿宋"/>
                <w:color w:val="000000"/>
                <w:kern w:val="0"/>
                <w:sz w:val="24"/>
                <w:highlight w:val="none"/>
              </w:rPr>
            </w:pPr>
          </w:p>
        </w:tc>
        <w:tc>
          <w:tcPr>
            <w:tcW w:w="530" w:type="pct"/>
            <w:vAlign w:val="center"/>
          </w:tcPr>
          <w:p w14:paraId="5EEDA22A">
            <w:pPr>
              <w:widowControl/>
              <w:spacing w:line="440" w:lineRule="exact"/>
              <w:ind w:right="480"/>
              <w:jc w:val="center"/>
              <w:rPr>
                <w:rFonts w:hint="eastAsia" w:ascii="仿宋" w:hAnsi="仿宋" w:eastAsia="仿宋" w:cs="仿宋"/>
                <w:color w:val="000000"/>
                <w:kern w:val="0"/>
                <w:sz w:val="24"/>
                <w:highlight w:val="none"/>
              </w:rPr>
            </w:pPr>
          </w:p>
        </w:tc>
        <w:tc>
          <w:tcPr>
            <w:tcW w:w="683" w:type="pct"/>
            <w:vAlign w:val="center"/>
          </w:tcPr>
          <w:p w14:paraId="23697CC3">
            <w:pPr>
              <w:widowControl/>
              <w:spacing w:line="440" w:lineRule="exact"/>
              <w:ind w:right="480"/>
              <w:jc w:val="center"/>
              <w:rPr>
                <w:rFonts w:hint="eastAsia" w:ascii="仿宋" w:hAnsi="仿宋" w:eastAsia="仿宋" w:cs="仿宋"/>
                <w:color w:val="000000"/>
                <w:kern w:val="0"/>
                <w:sz w:val="24"/>
                <w:highlight w:val="none"/>
              </w:rPr>
            </w:pPr>
          </w:p>
        </w:tc>
        <w:tc>
          <w:tcPr>
            <w:tcW w:w="423" w:type="pct"/>
            <w:vAlign w:val="center"/>
          </w:tcPr>
          <w:p w14:paraId="6B12F03C">
            <w:pPr>
              <w:widowControl/>
              <w:spacing w:line="440" w:lineRule="exact"/>
              <w:ind w:right="480"/>
              <w:jc w:val="center"/>
              <w:rPr>
                <w:rFonts w:hint="eastAsia" w:ascii="仿宋" w:hAnsi="仿宋" w:eastAsia="仿宋" w:cs="仿宋"/>
                <w:color w:val="000000"/>
                <w:kern w:val="0"/>
                <w:sz w:val="24"/>
                <w:highlight w:val="none"/>
              </w:rPr>
            </w:pPr>
          </w:p>
        </w:tc>
        <w:tc>
          <w:tcPr>
            <w:tcW w:w="409" w:type="pct"/>
            <w:vAlign w:val="center"/>
          </w:tcPr>
          <w:p w14:paraId="2874E0A3">
            <w:pPr>
              <w:widowControl/>
              <w:spacing w:line="440" w:lineRule="exact"/>
              <w:ind w:right="480"/>
              <w:jc w:val="center"/>
              <w:rPr>
                <w:rFonts w:hint="eastAsia" w:ascii="仿宋" w:hAnsi="仿宋" w:eastAsia="仿宋" w:cs="仿宋"/>
                <w:color w:val="000000"/>
                <w:kern w:val="0"/>
                <w:sz w:val="24"/>
                <w:highlight w:val="none"/>
              </w:rPr>
            </w:pPr>
          </w:p>
        </w:tc>
        <w:tc>
          <w:tcPr>
            <w:tcW w:w="396" w:type="pct"/>
            <w:vAlign w:val="center"/>
          </w:tcPr>
          <w:p w14:paraId="69EF7024">
            <w:pPr>
              <w:widowControl/>
              <w:spacing w:line="440" w:lineRule="exact"/>
              <w:ind w:right="480"/>
              <w:jc w:val="center"/>
              <w:rPr>
                <w:rFonts w:hint="eastAsia" w:ascii="仿宋" w:hAnsi="仿宋" w:eastAsia="仿宋" w:cs="仿宋"/>
                <w:color w:val="000000"/>
                <w:kern w:val="0"/>
                <w:sz w:val="24"/>
                <w:highlight w:val="none"/>
              </w:rPr>
            </w:pPr>
          </w:p>
        </w:tc>
        <w:tc>
          <w:tcPr>
            <w:tcW w:w="729" w:type="pct"/>
            <w:vAlign w:val="center"/>
          </w:tcPr>
          <w:p w14:paraId="516873A4">
            <w:pPr>
              <w:widowControl/>
              <w:spacing w:line="440" w:lineRule="exact"/>
              <w:ind w:right="480"/>
              <w:jc w:val="center"/>
              <w:rPr>
                <w:rFonts w:hint="eastAsia" w:ascii="仿宋" w:hAnsi="仿宋" w:eastAsia="仿宋" w:cs="仿宋"/>
                <w:color w:val="000000"/>
                <w:kern w:val="0"/>
                <w:sz w:val="24"/>
                <w:highlight w:val="none"/>
              </w:rPr>
            </w:pPr>
          </w:p>
        </w:tc>
      </w:tr>
      <w:tr w14:paraId="58B9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 w:type="pct"/>
            <w:vAlign w:val="center"/>
          </w:tcPr>
          <w:p w14:paraId="3A24AB04">
            <w:pPr>
              <w:widowControl/>
              <w:spacing w:line="440" w:lineRule="exact"/>
              <w:ind w:right="480"/>
              <w:jc w:val="center"/>
              <w:rPr>
                <w:rFonts w:hint="eastAsia" w:ascii="仿宋" w:hAnsi="仿宋" w:eastAsia="仿宋" w:cs="仿宋"/>
                <w:color w:val="000000"/>
                <w:kern w:val="0"/>
                <w:sz w:val="24"/>
                <w:highlight w:val="none"/>
              </w:rPr>
            </w:pPr>
          </w:p>
        </w:tc>
        <w:tc>
          <w:tcPr>
            <w:tcW w:w="711" w:type="pct"/>
            <w:vAlign w:val="center"/>
          </w:tcPr>
          <w:p w14:paraId="2F6C06B5">
            <w:pPr>
              <w:widowControl/>
              <w:spacing w:line="440" w:lineRule="exact"/>
              <w:ind w:right="480"/>
              <w:jc w:val="center"/>
              <w:rPr>
                <w:rFonts w:hint="eastAsia" w:ascii="仿宋" w:hAnsi="仿宋" w:eastAsia="仿宋" w:cs="仿宋"/>
                <w:color w:val="000000"/>
                <w:kern w:val="0"/>
                <w:sz w:val="24"/>
                <w:highlight w:val="none"/>
              </w:rPr>
            </w:pPr>
          </w:p>
        </w:tc>
        <w:tc>
          <w:tcPr>
            <w:tcW w:w="683" w:type="pct"/>
            <w:vAlign w:val="center"/>
          </w:tcPr>
          <w:p w14:paraId="1E8BEB2C">
            <w:pPr>
              <w:widowControl/>
              <w:spacing w:line="440" w:lineRule="exact"/>
              <w:ind w:right="480"/>
              <w:jc w:val="center"/>
              <w:rPr>
                <w:rFonts w:hint="eastAsia" w:ascii="仿宋" w:hAnsi="仿宋" w:eastAsia="仿宋" w:cs="仿宋"/>
                <w:color w:val="000000"/>
                <w:kern w:val="0"/>
                <w:sz w:val="24"/>
                <w:highlight w:val="none"/>
              </w:rPr>
            </w:pPr>
          </w:p>
        </w:tc>
        <w:tc>
          <w:tcPr>
            <w:tcW w:w="530" w:type="pct"/>
            <w:vAlign w:val="center"/>
          </w:tcPr>
          <w:p w14:paraId="446B577C">
            <w:pPr>
              <w:widowControl/>
              <w:spacing w:line="440" w:lineRule="exact"/>
              <w:ind w:right="480"/>
              <w:jc w:val="center"/>
              <w:rPr>
                <w:rFonts w:hint="eastAsia" w:ascii="仿宋" w:hAnsi="仿宋" w:eastAsia="仿宋" w:cs="仿宋"/>
                <w:color w:val="000000"/>
                <w:kern w:val="0"/>
                <w:sz w:val="24"/>
                <w:highlight w:val="none"/>
              </w:rPr>
            </w:pPr>
          </w:p>
        </w:tc>
        <w:tc>
          <w:tcPr>
            <w:tcW w:w="683" w:type="pct"/>
            <w:vAlign w:val="center"/>
          </w:tcPr>
          <w:p w14:paraId="34F400DA">
            <w:pPr>
              <w:widowControl/>
              <w:spacing w:line="440" w:lineRule="exact"/>
              <w:ind w:right="480"/>
              <w:jc w:val="center"/>
              <w:rPr>
                <w:rFonts w:hint="eastAsia" w:ascii="仿宋" w:hAnsi="仿宋" w:eastAsia="仿宋" w:cs="仿宋"/>
                <w:color w:val="000000"/>
                <w:kern w:val="0"/>
                <w:sz w:val="24"/>
                <w:highlight w:val="none"/>
              </w:rPr>
            </w:pPr>
          </w:p>
        </w:tc>
        <w:tc>
          <w:tcPr>
            <w:tcW w:w="423" w:type="pct"/>
            <w:vAlign w:val="center"/>
          </w:tcPr>
          <w:p w14:paraId="1CDCA6E9">
            <w:pPr>
              <w:widowControl/>
              <w:spacing w:line="440" w:lineRule="exact"/>
              <w:ind w:right="480"/>
              <w:jc w:val="center"/>
              <w:rPr>
                <w:rFonts w:hint="eastAsia" w:ascii="仿宋" w:hAnsi="仿宋" w:eastAsia="仿宋" w:cs="仿宋"/>
                <w:color w:val="000000"/>
                <w:kern w:val="0"/>
                <w:sz w:val="24"/>
                <w:highlight w:val="none"/>
              </w:rPr>
            </w:pPr>
          </w:p>
        </w:tc>
        <w:tc>
          <w:tcPr>
            <w:tcW w:w="409" w:type="pct"/>
            <w:vAlign w:val="center"/>
          </w:tcPr>
          <w:p w14:paraId="79E43CDF">
            <w:pPr>
              <w:widowControl/>
              <w:spacing w:line="440" w:lineRule="exact"/>
              <w:ind w:right="480"/>
              <w:jc w:val="center"/>
              <w:rPr>
                <w:rFonts w:hint="eastAsia" w:ascii="仿宋" w:hAnsi="仿宋" w:eastAsia="仿宋" w:cs="仿宋"/>
                <w:color w:val="000000"/>
                <w:kern w:val="0"/>
                <w:sz w:val="24"/>
                <w:highlight w:val="none"/>
              </w:rPr>
            </w:pPr>
          </w:p>
        </w:tc>
        <w:tc>
          <w:tcPr>
            <w:tcW w:w="396" w:type="pct"/>
            <w:vAlign w:val="center"/>
          </w:tcPr>
          <w:p w14:paraId="78A4EFB7">
            <w:pPr>
              <w:widowControl/>
              <w:spacing w:line="440" w:lineRule="exact"/>
              <w:ind w:right="480"/>
              <w:jc w:val="center"/>
              <w:rPr>
                <w:rFonts w:hint="eastAsia" w:ascii="仿宋" w:hAnsi="仿宋" w:eastAsia="仿宋" w:cs="仿宋"/>
                <w:color w:val="000000"/>
                <w:kern w:val="0"/>
                <w:sz w:val="24"/>
                <w:highlight w:val="none"/>
              </w:rPr>
            </w:pPr>
          </w:p>
        </w:tc>
        <w:tc>
          <w:tcPr>
            <w:tcW w:w="729" w:type="pct"/>
            <w:vAlign w:val="center"/>
          </w:tcPr>
          <w:p w14:paraId="7BEF523C">
            <w:pPr>
              <w:widowControl/>
              <w:spacing w:line="440" w:lineRule="exact"/>
              <w:ind w:right="480"/>
              <w:jc w:val="center"/>
              <w:rPr>
                <w:rFonts w:hint="eastAsia" w:ascii="仿宋" w:hAnsi="仿宋" w:eastAsia="仿宋" w:cs="仿宋"/>
                <w:color w:val="000000"/>
                <w:kern w:val="0"/>
                <w:sz w:val="24"/>
                <w:highlight w:val="none"/>
              </w:rPr>
            </w:pPr>
          </w:p>
        </w:tc>
      </w:tr>
    </w:tbl>
    <w:p w14:paraId="3D4C3A25">
      <w:pPr>
        <w:pStyle w:val="8"/>
        <w:spacing w:line="100" w:lineRule="exact"/>
        <w:ind w:firstLine="562" w:firstLineChars="200"/>
        <w:rPr>
          <w:rFonts w:hint="eastAsia" w:ascii="仿宋" w:hAnsi="仿宋" w:eastAsia="仿宋" w:cs="仿宋"/>
          <w:b/>
          <w:sz w:val="28"/>
          <w:szCs w:val="28"/>
          <w:highlight w:val="none"/>
        </w:rPr>
      </w:pPr>
    </w:p>
    <w:p w14:paraId="6FD5AB7E">
      <w:pPr>
        <w:pStyle w:val="8"/>
        <w:spacing w:line="480"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第三条  合同总价</w:t>
      </w:r>
    </w:p>
    <w:p w14:paraId="264BC5B6">
      <w:pPr>
        <w:pStyle w:val="8"/>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总价为人民币（大写）：____________，即RMB____________。该合同总价是货物设计、制造、包装、仓储、运输、安装、调试、培训、质保期服务等各项含税费用。本合同执行期间合同总价不变。</w:t>
      </w:r>
    </w:p>
    <w:p w14:paraId="51734747">
      <w:pPr>
        <w:spacing w:line="480"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第四条  专利权</w:t>
      </w:r>
    </w:p>
    <w:p w14:paraId="3B7FAB59">
      <w:pPr>
        <w:pStyle w:val="8"/>
        <w:spacing w:line="480" w:lineRule="exact"/>
        <w:ind w:firstLine="560" w:firstLineChars="200"/>
        <w:jc w:val="both"/>
        <w:rPr>
          <w:rFonts w:hint="eastAsia" w:ascii="仿宋" w:hAnsi="仿宋" w:eastAsia="仿宋" w:cs="仿宋"/>
          <w:b/>
          <w:sz w:val="28"/>
          <w:szCs w:val="28"/>
          <w:highlight w:val="none"/>
        </w:rPr>
      </w:pPr>
      <w:r>
        <w:rPr>
          <w:rFonts w:hint="eastAsia" w:ascii="仿宋" w:hAnsi="仿宋" w:eastAsia="仿宋" w:cs="仿宋"/>
          <w:sz w:val="28"/>
          <w:szCs w:val="28"/>
          <w:highlight w:val="none"/>
        </w:rPr>
        <w:t>乙方应保证其提供的货物、技术及有关服务不侵犯他人的专利权、商标权或工业设计等知识产权，并保证本合同中的使用者能够合法使用，否则，由此给甲方造成的一切损失均由乙方承担。</w:t>
      </w:r>
    </w:p>
    <w:p w14:paraId="6AF717DC">
      <w:pPr>
        <w:pStyle w:val="8"/>
        <w:spacing w:line="480" w:lineRule="exact"/>
        <w:ind w:firstLine="562" w:firstLineChars="200"/>
        <w:rPr>
          <w:rFonts w:hint="eastAsia" w:ascii="仿宋" w:hAnsi="仿宋" w:eastAsia="仿宋" w:cs="仿宋"/>
          <w:b/>
          <w:sz w:val="28"/>
          <w:szCs w:val="28"/>
          <w:highlight w:val="none"/>
        </w:rPr>
      </w:pPr>
      <w:r>
        <w:rPr>
          <w:rFonts w:hint="eastAsia" w:ascii="仿宋" w:hAnsi="仿宋" w:eastAsia="仿宋" w:cs="仿宋"/>
          <w:b/>
          <w:sz w:val="28"/>
          <w:szCs w:val="28"/>
          <w:highlight w:val="none"/>
        </w:rPr>
        <w:t>第五条  交货和验收</w:t>
      </w:r>
    </w:p>
    <w:p w14:paraId="47307A1B">
      <w:pPr>
        <w:pStyle w:val="8"/>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乙方须提供全新的、符合国家有关质量标准和规范、环保要求的货物，其质量、规格及技术特征符合招标文件技术参数的要求。乙方提供的全部货物均应按标准保护措施进行包装，这类包装应适应于远距离运输防潮、防震、防锈和防野蛮装卸，以确保货物安全无损运抵指定现场。由于包装不善所引起的货物锈蚀、损坏和损失均由乙方负责。</w:t>
      </w:r>
    </w:p>
    <w:p w14:paraId="291727A1">
      <w:pPr>
        <w:pStyle w:val="8"/>
        <w:spacing w:line="480" w:lineRule="exact"/>
        <w:ind w:firstLine="560" w:firstLineChars="200"/>
        <w:rPr>
          <w:rFonts w:hint="eastAsia" w:ascii="仿宋" w:hAnsi="仿宋" w:eastAsia="仿宋" w:cs="仿宋"/>
          <w:highlight w:val="none"/>
        </w:rPr>
      </w:pPr>
      <w:r>
        <w:rPr>
          <w:rFonts w:hint="eastAsia" w:ascii="仿宋" w:hAnsi="仿宋" w:eastAsia="仿宋" w:cs="仿宋"/>
          <w:sz w:val="28"/>
          <w:szCs w:val="28"/>
          <w:highlight w:val="none"/>
        </w:rPr>
        <w:t>2.存在缺陷（包括潜在缺陷）或不符合要求的货物、都将视为不合格产品，由此产生的一切后果均由乙方负责，乙方必须在5个工作日内及时完成更换。</w:t>
      </w:r>
    </w:p>
    <w:p w14:paraId="0271A035">
      <w:pPr>
        <w:pStyle w:val="8"/>
        <w:spacing w:line="480" w:lineRule="exact"/>
        <w:ind w:firstLine="560" w:firstLineChars="200"/>
        <w:jc w:val="both"/>
        <w:rPr>
          <w:rFonts w:hint="eastAsia" w:ascii="仿宋" w:hAnsi="仿宋" w:eastAsia="仿宋" w:cs="仿宋"/>
          <w:sz w:val="28"/>
          <w:szCs w:val="28"/>
          <w:highlight w:val="none"/>
        </w:rPr>
      </w:pPr>
      <w:r>
        <w:rPr>
          <w:rFonts w:hint="eastAsia" w:ascii="仿宋" w:hAnsi="仿宋" w:eastAsia="仿宋" w:cs="仿宋"/>
          <w:sz w:val="28"/>
          <w:szCs w:val="28"/>
          <w:highlight w:val="none"/>
        </w:rPr>
        <w:t>3.在合同签订后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日内，乙方免费送货至甲方指定地点(吉安职业技术学院）。</w:t>
      </w:r>
    </w:p>
    <w:p w14:paraId="4DBF8B7B">
      <w:pPr>
        <w:pStyle w:val="8"/>
        <w:spacing w:line="480" w:lineRule="exact"/>
        <w:ind w:firstLine="560" w:firstLineChars="200"/>
        <w:jc w:val="both"/>
        <w:rPr>
          <w:rFonts w:hint="eastAsia" w:ascii="仿宋" w:hAnsi="仿宋" w:eastAsia="仿宋" w:cs="仿宋"/>
          <w:sz w:val="28"/>
          <w:szCs w:val="28"/>
          <w:highlight w:val="none"/>
        </w:rPr>
      </w:pPr>
      <w:r>
        <w:rPr>
          <w:rFonts w:hint="eastAsia" w:ascii="仿宋" w:hAnsi="仿宋" w:eastAsia="仿宋" w:cs="仿宋"/>
          <w:sz w:val="28"/>
          <w:szCs w:val="28"/>
          <w:highlight w:val="none"/>
        </w:rPr>
        <w:t>4.乙方必须保证所提供的主要货物除必要的技术性标志外，还应有以下内容的标志：（1）货物的型号和名称；（2）制造厂名称；（3）制造日期或编号。具有出厂合格证、序列号、包装箱号与厂批号一致，并可追索查阅。并将产品出厂自带的说明书、保修卡、或有关资料及配件等随同货物一同交付给甲方。</w:t>
      </w:r>
    </w:p>
    <w:p w14:paraId="41ACAC5C">
      <w:pPr>
        <w:pStyle w:val="8"/>
        <w:spacing w:line="480" w:lineRule="exact"/>
        <w:ind w:firstLine="560" w:firstLineChars="200"/>
        <w:jc w:val="both"/>
        <w:rPr>
          <w:rFonts w:hint="eastAsia" w:ascii="仿宋" w:hAnsi="仿宋" w:eastAsia="仿宋" w:cs="仿宋"/>
          <w:sz w:val="28"/>
          <w:szCs w:val="28"/>
          <w:highlight w:val="none"/>
        </w:rPr>
      </w:pPr>
      <w:r>
        <w:rPr>
          <w:rFonts w:hint="eastAsia" w:ascii="仿宋" w:hAnsi="仿宋" w:eastAsia="仿宋" w:cs="仿宋"/>
          <w:sz w:val="28"/>
          <w:szCs w:val="28"/>
          <w:highlight w:val="none"/>
        </w:rPr>
        <w:t>5.货物运抵交货地点后，由甲方与乙方一起进行到货验收，对货物的数量、型号、质量、技术资料等进行检查。甲方须为货物验收提供必须的设备、工具及其它便利条件。双方确认后，由乙方提供免费安装调试与培训（含所需的一切耗材、工具、工时费等）。</w:t>
      </w:r>
    </w:p>
    <w:p w14:paraId="7E1A7C11">
      <w:pPr>
        <w:pStyle w:val="8"/>
        <w:spacing w:line="480" w:lineRule="exact"/>
        <w:ind w:firstLine="560" w:firstLineChars="200"/>
        <w:jc w:val="both"/>
        <w:rPr>
          <w:rFonts w:hint="eastAsia" w:ascii="仿宋" w:hAnsi="仿宋" w:eastAsia="仿宋" w:cs="仿宋"/>
          <w:sz w:val="28"/>
          <w:szCs w:val="28"/>
          <w:highlight w:val="none"/>
        </w:rPr>
      </w:pPr>
      <w:r>
        <w:rPr>
          <w:rFonts w:hint="eastAsia" w:ascii="仿宋" w:hAnsi="仿宋" w:eastAsia="仿宋" w:cs="仿宋"/>
          <w:sz w:val="28"/>
          <w:szCs w:val="28"/>
          <w:highlight w:val="none"/>
        </w:rPr>
        <w:t>6.乙方不能完整交付货物及本款规定的单证和工具的，视为未按合同约定付货，乙方必须负责补齐，因此导致逾期交付的，由乙方承担相关的违约责任。</w:t>
      </w:r>
    </w:p>
    <w:p w14:paraId="7B5EE495">
      <w:pPr>
        <w:pStyle w:val="8"/>
        <w:spacing w:line="480" w:lineRule="exact"/>
        <w:ind w:firstLine="560" w:firstLineChars="200"/>
        <w:jc w:val="both"/>
        <w:rPr>
          <w:rFonts w:hint="eastAsia" w:ascii="仿宋" w:hAnsi="仿宋" w:eastAsia="仿宋" w:cs="仿宋"/>
          <w:sz w:val="28"/>
          <w:szCs w:val="28"/>
          <w:highlight w:val="none"/>
        </w:rPr>
      </w:pPr>
      <w:r>
        <w:rPr>
          <w:rFonts w:hint="eastAsia" w:ascii="仿宋" w:hAnsi="仿宋" w:eastAsia="仿宋" w:cs="仿宋"/>
          <w:sz w:val="28"/>
          <w:szCs w:val="28"/>
          <w:highlight w:val="none"/>
        </w:rPr>
        <w:t>7.甲方应在到货</w:t>
      </w:r>
      <w:r>
        <w:rPr>
          <w:rFonts w:hint="eastAsia" w:ascii="仿宋" w:hAnsi="仿宋" w:eastAsia="仿宋" w:cs="仿宋"/>
          <w:sz w:val="28"/>
          <w:szCs w:val="28"/>
          <w:highlight w:val="none"/>
          <w:u w:val="single"/>
        </w:rPr>
        <w:t xml:space="preserve">  30  </w:t>
      </w:r>
      <w:r>
        <w:rPr>
          <w:rFonts w:hint="eastAsia" w:ascii="仿宋" w:hAnsi="仿宋" w:eastAsia="仿宋" w:cs="仿宋"/>
          <w:sz w:val="28"/>
          <w:szCs w:val="28"/>
          <w:highlight w:val="none"/>
        </w:rPr>
        <w:t>天内组织验收小组对货物进行交付验收。交付验收合格后，由验收小组、甲乙双方共同签署验收单。</w:t>
      </w:r>
    </w:p>
    <w:p w14:paraId="1EDFA51F">
      <w:pPr>
        <w:pStyle w:val="8"/>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8.交付验收标准依次对照适用标准为：（1）符合中华人民共和国国家安全质量标准、环保标准或行业标准。（2）符合采购文件和响应承诺中甲方认可的合理最佳配置、参数及各项要求。</w:t>
      </w:r>
    </w:p>
    <w:p w14:paraId="50526182">
      <w:pPr>
        <w:pStyle w:val="8"/>
        <w:spacing w:line="480" w:lineRule="exact"/>
        <w:ind w:firstLine="562" w:firstLineChars="200"/>
        <w:rPr>
          <w:rFonts w:hint="eastAsia" w:ascii="仿宋" w:hAnsi="仿宋" w:eastAsia="仿宋" w:cs="仿宋"/>
          <w:b/>
          <w:bCs/>
          <w:sz w:val="28"/>
          <w:szCs w:val="28"/>
          <w:highlight w:val="none"/>
        </w:rPr>
      </w:pPr>
      <w:r>
        <w:rPr>
          <w:rFonts w:hint="eastAsia" w:ascii="仿宋" w:hAnsi="仿宋" w:eastAsia="仿宋" w:cs="仿宋"/>
          <w:b/>
          <w:sz w:val="28"/>
          <w:szCs w:val="28"/>
          <w:highlight w:val="none"/>
        </w:rPr>
        <w:t xml:space="preserve">第六条  </w:t>
      </w:r>
      <w:r>
        <w:rPr>
          <w:rFonts w:hint="eastAsia" w:ascii="仿宋" w:hAnsi="仿宋" w:eastAsia="仿宋" w:cs="仿宋"/>
          <w:b/>
          <w:bCs/>
          <w:sz w:val="28"/>
          <w:szCs w:val="28"/>
          <w:highlight w:val="none"/>
        </w:rPr>
        <w:t>付款方式</w:t>
      </w:r>
    </w:p>
    <w:p w14:paraId="54ECEF61">
      <w:pPr>
        <w:pStyle w:val="8"/>
        <w:spacing w:line="480" w:lineRule="exact"/>
        <w:ind w:firstLine="560" w:firstLineChars="200"/>
        <w:rPr>
          <w:rFonts w:hint="eastAsia" w:ascii="仿宋" w:hAnsi="仿宋" w:eastAsia="仿宋" w:cs="仿宋"/>
          <w:sz w:val="28"/>
          <w:szCs w:val="28"/>
          <w:highlight w:val="none"/>
          <w:u w:val="single"/>
        </w:rPr>
      </w:pPr>
      <w:r>
        <w:rPr>
          <w:rFonts w:hint="eastAsia" w:ascii="仿宋" w:hAnsi="仿宋" w:eastAsia="仿宋" w:cs="仿宋"/>
          <w:sz w:val="28"/>
          <w:szCs w:val="28"/>
          <w:highlight w:val="none"/>
          <w:u w:val="single"/>
        </w:rPr>
        <w:t>由采购人邀请相关行业专家参与验收，经验收合格后支付至合同总价的100%。</w:t>
      </w:r>
    </w:p>
    <w:p w14:paraId="4BF998EF">
      <w:pPr>
        <w:pStyle w:val="8"/>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本合同供货单位指定的收款账户：</w:t>
      </w:r>
    </w:p>
    <w:p w14:paraId="62B7BF02">
      <w:pPr>
        <w:pStyle w:val="8"/>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户名：_____________________</w:t>
      </w:r>
    </w:p>
    <w:p w14:paraId="17A6AD76">
      <w:pPr>
        <w:pStyle w:val="8"/>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开户行：___________________</w:t>
      </w:r>
    </w:p>
    <w:p w14:paraId="66FB2258">
      <w:pPr>
        <w:pStyle w:val="8"/>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账号：_____________________</w:t>
      </w:r>
    </w:p>
    <w:p w14:paraId="6433D3B2">
      <w:pPr>
        <w:pStyle w:val="8"/>
        <w:spacing w:line="480" w:lineRule="exact"/>
        <w:ind w:firstLine="562" w:firstLineChars="200"/>
        <w:rPr>
          <w:rFonts w:hint="eastAsia" w:ascii="仿宋" w:hAnsi="仿宋" w:eastAsia="仿宋" w:cs="仿宋"/>
          <w:sz w:val="28"/>
          <w:szCs w:val="28"/>
          <w:highlight w:val="none"/>
        </w:rPr>
      </w:pPr>
      <w:r>
        <w:rPr>
          <w:rFonts w:hint="eastAsia" w:ascii="仿宋" w:hAnsi="仿宋" w:eastAsia="仿宋" w:cs="仿宋"/>
          <w:b/>
          <w:sz w:val="28"/>
          <w:szCs w:val="28"/>
          <w:highlight w:val="none"/>
        </w:rPr>
        <w:t xml:space="preserve">第七条  </w:t>
      </w:r>
      <w:r>
        <w:rPr>
          <w:rFonts w:hint="eastAsia" w:ascii="仿宋" w:hAnsi="仿宋" w:eastAsia="仿宋" w:cs="仿宋"/>
          <w:b/>
          <w:bCs/>
          <w:sz w:val="28"/>
          <w:szCs w:val="28"/>
          <w:highlight w:val="none"/>
        </w:rPr>
        <w:t>售后服务</w:t>
      </w:r>
    </w:p>
    <w:p w14:paraId="0321C9B6">
      <w:pPr>
        <w:spacing w:line="480" w:lineRule="exact"/>
        <w:ind w:firstLine="560" w:firstLineChars="200"/>
        <w:rPr>
          <w:rFonts w:hint="eastAsia" w:ascii="仿宋" w:hAnsi="仿宋" w:eastAsia="仿宋" w:cs="仿宋"/>
          <w:highlight w:val="none"/>
        </w:rPr>
      </w:pPr>
      <w:r>
        <w:rPr>
          <w:rFonts w:hint="eastAsia" w:ascii="仿宋" w:hAnsi="仿宋" w:eastAsia="仿宋" w:cs="仿宋"/>
          <w:kern w:val="0"/>
          <w:sz w:val="28"/>
          <w:szCs w:val="28"/>
          <w:highlight w:val="none"/>
        </w:rPr>
        <w:t>1.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乙方进行相应的技术培训，培训地点主要在货物安装现场或由甲方安排。</w:t>
      </w:r>
    </w:p>
    <w:p w14:paraId="2237F558">
      <w:pPr>
        <w:spacing w:line="480" w:lineRule="exact"/>
        <w:ind w:firstLine="560" w:firstLineChars="200"/>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2.质量保证期为：</w:t>
      </w:r>
      <w:r>
        <w:rPr>
          <w:rFonts w:hint="eastAsia" w:ascii="仿宋" w:hAnsi="仿宋" w:eastAsia="仿宋" w:cs="仿宋"/>
          <w:sz w:val="28"/>
          <w:szCs w:val="28"/>
          <w:highlight w:val="none"/>
          <w:u w:val="single"/>
        </w:rPr>
        <w:t>1</w:t>
      </w:r>
      <w:r>
        <w:rPr>
          <w:rFonts w:hint="eastAsia" w:ascii="仿宋" w:hAnsi="仿宋" w:eastAsia="仿宋" w:cs="仿宋"/>
          <w:sz w:val="28"/>
          <w:szCs w:val="28"/>
          <w:highlight w:val="none"/>
        </w:rPr>
        <w:t>年</w:t>
      </w:r>
      <w:r>
        <w:rPr>
          <w:rFonts w:hint="eastAsia" w:ascii="仿宋" w:hAnsi="仿宋" w:eastAsia="仿宋" w:cs="仿宋"/>
          <w:kern w:val="0"/>
          <w:sz w:val="28"/>
          <w:szCs w:val="28"/>
          <w:highlight w:val="none"/>
        </w:rPr>
        <w:t>；质保期自交付验收合格之日起计算，保修费用计入总价。</w:t>
      </w:r>
    </w:p>
    <w:p w14:paraId="50ED550B">
      <w:pPr>
        <w:spacing w:line="480" w:lineRule="exact"/>
        <w:ind w:firstLine="560" w:firstLineChars="200"/>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3.质量保证期内，乙方负责对其提供的货物进行维修和系统维护，所有货物保修服务方式均为乙方上门保修，即由乙方派员到货物使用现场维修，由此产生的一切费用均由乙方承担，不可抗力（如火灾、雷击等）造成的故障除外。</w:t>
      </w:r>
    </w:p>
    <w:p w14:paraId="4E6F01E0">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kern w:val="0"/>
          <w:sz w:val="28"/>
          <w:szCs w:val="28"/>
          <w:highlight w:val="none"/>
        </w:rPr>
        <w:t>4.</w:t>
      </w:r>
      <w:r>
        <w:rPr>
          <w:rFonts w:hint="eastAsia" w:ascii="仿宋" w:hAnsi="仿宋" w:eastAsia="仿宋" w:cs="仿宋"/>
          <w:sz w:val="28"/>
          <w:szCs w:val="28"/>
          <w:highlight w:val="none"/>
        </w:rPr>
        <w:t>在质量保证期内，出现故障接采购人或使用单位通知后4小时内必须响应，12小时到达现场，24小时解决。如超过24小时仍不能排除故障，成交人应无偿提供备用品或零件供用户使用直至故障排除后正常使用。</w:t>
      </w:r>
    </w:p>
    <w:p w14:paraId="71740955">
      <w:pPr>
        <w:spacing w:line="480" w:lineRule="exact"/>
        <w:ind w:firstLine="560" w:firstLineChars="200"/>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5.</w:t>
      </w:r>
      <w:r>
        <w:rPr>
          <w:rFonts w:hint="eastAsia" w:ascii="仿宋" w:hAnsi="仿宋" w:eastAsia="仿宋" w:cs="仿宋"/>
          <w:sz w:val="28"/>
          <w:szCs w:val="28"/>
          <w:highlight w:val="none"/>
          <w:lang w:eastAsia="zh-Hans"/>
        </w:rPr>
        <w:t>质保服务期内，如对软件有新的改进、增加新功能或者为适应最新标准所形成的最新版本，均免费、及时提供给用户使用</w:t>
      </w:r>
      <w:r>
        <w:rPr>
          <w:rFonts w:hint="eastAsia" w:ascii="仿宋" w:hAnsi="仿宋" w:eastAsia="仿宋" w:cs="仿宋"/>
          <w:sz w:val="28"/>
          <w:szCs w:val="28"/>
          <w:highlight w:val="none"/>
        </w:rPr>
        <w:t>。</w:t>
      </w:r>
    </w:p>
    <w:p w14:paraId="3D931537">
      <w:pPr>
        <w:spacing w:line="480" w:lineRule="exact"/>
        <w:ind w:firstLine="618" w:firstLineChars="221"/>
        <w:rPr>
          <w:rFonts w:hint="eastAsia" w:ascii="仿宋" w:hAnsi="仿宋" w:eastAsia="仿宋" w:cs="仿宋"/>
          <w:sz w:val="28"/>
          <w:szCs w:val="28"/>
          <w:highlight w:val="none"/>
        </w:rPr>
      </w:pPr>
      <w:r>
        <w:rPr>
          <w:rFonts w:hint="eastAsia" w:ascii="仿宋" w:hAnsi="仿宋" w:eastAsia="仿宋" w:cs="仿宋"/>
          <w:kern w:val="0"/>
          <w:sz w:val="28"/>
          <w:szCs w:val="28"/>
          <w:highlight w:val="none"/>
        </w:rPr>
        <w:t>6.</w:t>
      </w:r>
      <w:r>
        <w:rPr>
          <w:rFonts w:hint="eastAsia" w:ascii="仿宋" w:hAnsi="仿宋" w:eastAsia="仿宋" w:cs="仿宋"/>
          <w:sz w:val="28"/>
          <w:szCs w:val="28"/>
          <w:highlight w:val="none"/>
        </w:rPr>
        <w:t>质保期期满后，乙方将继续为甲方提供维护服务。备品配件价格不得高于本次成交价格。</w:t>
      </w:r>
    </w:p>
    <w:p w14:paraId="1B1D3715">
      <w:pPr>
        <w:pStyle w:val="8"/>
        <w:spacing w:line="480" w:lineRule="exact"/>
        <w:ind w:firstLine="562" w:firstLineChars="200"/>
        <w:rPr>
          <w:rFonts w:hint="eastAsia" w:ascii="仿宋" w:hAnsi="仿宋" w:eastAsia="仿宋" w:cs="仿宋"/>
          <w:b/>
          <w:bCs/>
          <w:sz w:val="28"/>
          <w:szCs w:val="28"/>
          <w:highlight w:val="none"/>
        </w:rPr>
      </w:pPr>
      <w:r>
        <w:rPr>
          <w:rFonts w:hint="eastAsia" w:ascii="仿宋" w:hAnsi="仿宋" w:eastAsia="仿宋" w:cs="仿宋"/>
          <w:b/>
          <w:sz w:val="28"/>
          <w:szCs w:val="28"/>
          <w:highlight w:val="none"/>
        </w:rPr>
        <w:t xml:space="preserve">第八条  </w:t>
      </w:r>
      <w:r>
        <w:rPr>
          <w:rFonts w:hint="eastAsia" w:ascii="仿宋" w:hAnsi="仿宋" w:eastAsia="仿宋" w:cs="仿宋"/>
          <w:b/>
          <w:bCs/>
          <w:sz w:val="28"/>
          <w:szCs w:val="28"/>
          <w:highlight w:val="none"/>
        </w:rPr>
        <w:t>违约责任</w:t>
      </w:r>
    </w:p>
    <w:p w14:paraId="6BFCE6AD">
      <w:pPr>
        <w:spacing w:line="480" w:lineRule="exact"/>
        <w:ind w:firstLine="618" w:firstLineChars="221"/>
        <w:rPr>
          <w:rFonts w:hint="eastAsia" w:ascii="仿宋" w:hAnsi="仿宋" w:eastAsia="仿宋" w:cs="仿宋"/>
          <w:sz w:val="28"/>
          <w:szCs w:val="28"/>
          <w:highlight w:val="none"/>
        </w:rPr>
      </w:pPr>
      <w:r>
        <w:rPr>
          <w:rFonts w:hint="eastAsia" w:ascii="仿宋" w:hAnsi="仿宋" w:eastAsia="仿宋" w:cs="仿宋"/>
          <w:sz w:val="28"/>
          <w:szCs w:val="28"/>
          <w:highlight w:val="none"/>
        </w:rPr>
        <w:t>1.如乙方延期交货，应及时告知甲方，说明其原因并征得甲方同意，同时明确后续供货日期。乙方无故逾期交货超过10天以上的，甲方有权终止合同，并扣除乙方支付的履约保证金。</w:t>
      </w:r>
    </w:p>
    <w:p w14:paraId="4EFBD598">
      <w:pPr>
        <w:spacing w:line="480" w:lineRule="exact"/>
        <w:ind w:firstLine="618" w:firstLineChars="221"/>
        <w:rPr>
          <w:rFonts w:hint="eastAsia" w:ascii="仿宋" w:hAnsi="仿宋" w:eastAsia="仿宋" w:cs="仿宋"/>
          <w:sz w:val="28"/>
          <w:szCs w:val="28"/>
          <w:highlight w:val="none"/>
        </w:rPr>
      </w:pPr>
      <w:r>
        <w:rPr>
          <w:rFonts w:hint="eastAsia" w:ascii="仿宋" w:hAnsi="仿宋" w:eastAsia="仿宋" w:cs="仿宋"/>
          <w:sz w:val="28"/>
          <w:szCs w:val="28"/>
          <w:highlight w:val="none"/>
        </w:rPr>
        <w:t>2.乙方所交的货物品种、型号、规格不符合合同规定或发现质量不合格产品，乙方必须按甲方的要求重新供货。乙方无法满足的，甲方有权终止合同。</w:t>
      </w:r>
    </w:p>
    <w:p w14:paraId="69E07980">
      <w:pPr>
        <w:pStyle w:val="8"/>
        <w:spacing w:line="480" w:lineRule="exact"/>
        <w:ind w:firstLine="562" w:firstLineChars="200"/>
        <w:rPr>
          <w:rFonts w:hint="eastAsia" w:ascii="仿宋" w:hAnsi="仿宋" w:eastAsia="仿宋" w:cs="仿宋"/>
          <w:b/>
          <w:bCs/>
          <w:sz w:val="28"/>
          <w:szCs w:val="28"/>
          <w:highlight w:val="none"/>
        </w:rPr>
      </w:pPr>
      <w:r>
        <w:rPr>
          <w:rFonts w:hint="eastAsia" w:ascii="仿宋" w:hAnsi="仿宋" w:eastAsia="仿宋" w:cs="仿宋"/>
          <w:b/>
          <w:sz w:val="28"/>
          <w:szCs w:val="28"/>
          <w:highlight w:val="none"/>
        </w:rPr>
        <w:t xml:space="preserve">第九条  </w:t>
      </w:r>
      <w:r>
        <w:rPr>
          <w:rFonts w:hint="eastAsia" w:ascii="仿宋" w:hAnsi="仿宋" w:eastAsia="仿宋" w:cs="仿宋"/>
          <w:b/>
          <w:bCs/>
          <w:sz w:val="28"/>
          <w:szCs w:val="28"/>
          <w:highlight w:val="none"/>
        </w:rPr>
        <w:t>争议及仲裁</w:t>
      </w:r>
    </w:p>
    <w:p w14:paraId="6FBBACFC">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1.因货物的质量问题发生争议，由质量监督部门或其指定的质量鉴定单位进行质量鉴定。货物符合标准的，鉴定费由甲方承担；货物不符合质量标准的，鉴定费由乙方承担。</w:t>
      </w:r>
    </w:p>
    <w:p w14:paraId="3A6139AB">
      <w:pPr>
        <w:pStyle w:val="8"/>
        <w:spacing w:line="4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2.因本合同引起的争议，甲、乙双方应首先通过友好协商解决，如果协商或调解不能解决争议，则向合同签订地人民法院提起诉讼。本合同签定地：江西省吉安市。</w:t>
      </w:r>
    </w:p>
    <w:p w14:paraId="1A1D30CB">
      <w:pPr>
        <w:pStyle w:val="8"/>
        <w:spacing w:line="480" w:lineRule="exact"/>
        <w:ind w:firstLine="562" w:firstLineChars="200"/>
        <w:rPr>
          <w:rFonts w:hint="eastAsia" w:ascii="仿宋" w:hAnsi="仿宋" w:eastAsia="仿宋" w:cs="仿宋"/>
          <w:b/>
          <w:bCs/>
          <w:sz w:val="28"/>
          <w:szCs w:val="28"/>
          <w:highlight w:val="none"/>
        </w:rPr>
      </w:pPr>
      <w:r>
        <w:rPr>
          <w:rFonts w:hint="eastAsia" w:ascii="仿宋" w:hAnsi="仿宋" w:eastAsia="仿宋" w:cs="仿宋"/>
          <w:b/>
          <w:sz w:val="28"/>
          <w:szCs w:val="28"/>
          <w:highlight w:val="none"/>
        </w:rPr>
        <w:t xml:space="preserve">第十条  </w:t>
      </w:r>
      <w:r>
        <w:rPr>
          <w:rFonts w:hint="eastAsia" w:ascii="仿宋" w:hAnsi="仿宋" w:eastAsia="仿宋" w:cs="仿宋"/>
          <w:b/>
          <w:bCs/>
          <w:sz w:val="28"/>
          <w:szCs w:val="28"/>
          <w:highlight w:val="none"/>
        </w:rPr>
        <w:t>其它</w:t>
      </w:r>
    </w:p>
    <w:p w14:paraId="68B7960F">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1.本合同在双方法人代表或其授权代理人签字盖章之日并甲方收到乙方提供的履约保证金后生效。</w:t>
      </w:r>
    </w:p>
    <w:p w14:paraId="06D4E7F2">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2.本合同一式捌份，具有同等法律效力，甲方伍份，乙方叁份，采购代理机构一份。</w:t>
      </w:r>
    </w:p>
    <w:p w14:paraId="5B01976D">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3.本合同未尽事宜，由双方协商处理。</w:t>
      </w:r>
    </w:p>
    <w:p w14:paraId="6A8DF22B">
      <w:pPr>
        <w:pStyle w:val="7"/>
        <w:rPr>
          <w:rFonts w:hint="eastAsia" w:ascii="仿宋" w:hAnsi="仿宋" w:eastAsia="仿宋" w:cs="仿宋"/>
          <w:highlight w:val="none"/>
        </w:rPr>
      </w:pPr>
    </w:p>
    <w:p w14:paraId="332A41B3">
      <w:pPr>
        <w:pStyle w:val="8"/>
        <w:spacing w:line="480" w:lineRule="exact"/>
        <w:ind w:firstLine="0"/>
        <w:rPr>
          <w:rFonts w:hint="eastAsia" w:ascii="仿宋" w:hAnsi="仿宋" w:eastAsia="仿宋" w:cs="仿宋"/>
          <w:sz w:val="28"/>
          <w:szCs w:val="28"/>
          <w:highlight w:val="none"/>
        </w:rPr>
      </w:pPr>
      <w:r>
        <w:rPr>
          <w:rFonts w:hint="eastAsia" w:ascii="仿宋" w:hAnsi="仿宋" w:eastAsia="仿宋" w:cs="仿宋"/>
          <w:sz w:val="28"/>
          <w:szCs w:val="28"/>
          <w:highlight w:val="none"/>
        </w:rPr>
        <w:t>甲方：                           乙方：</w:t>
      </w:r>
    </w:p>
    <w:p w14:paraId="32A0BDE8">
      <w:pPr>
        <w:pStyle w:val="8"/>
        <w:spacing w:line="480" w:lineRule="exact"/>
        <w:ind w:firstLine="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           法定代表人或授权代表：</w:t>
      </w:r>
    </w:p>
    <w:p w14:paraId="26394309">
      <w:pPr>
        <w:pStyle w:val="8"/>
        <w:spacing w:line="480" w:lineRule="exact"/>
        <w:ind w:firstLine="0"/>
        <w:rPr>
          <w:rFonts w:hint="eastAsia" w:ascii="仿宋" w:hAnsi="仿宋" w:eastAsia="仿宋" w:cs="仿宋"/>
          <w:sz w:val="28"/>
          <w:szCs w:val="28"/>
          <w:highlight w:val="none"/>
        </w:rPr>
      </w:pPr>
      <w:r>
        <w:rPr>
          <w:rFonts w:hint="eastAsia" w:ascii="仿宋" w:hAnsi="仿宋" w:eastAsia="仿宋" w:cs="仿宋"/>
          <w:sz w:val="28"/>
          <w:szCs w:val="28"/>
          <w:highlight w:val="none"/>
        </w:rPr>
        <w:t>联系人：                         联系人：</w:t>
      </w:r>
    </w:p>
    <w:p w14:paraId="73ACE510">
      <w:pPr>
        <w:pStyle w:val="8"/>
        <w:spacing w:line="480" w:lineRule="exact"/>
        <w:ind w:firstLine="0"/>
        <w:rPr>
          <w:rFonts w:hint="eastAsia" w:ascii="仿宋" w:hAnsi="仿宋" w:eastAsia="仿宋" w:cs="仿宋"/>
          <w:sz w:val="28"/>
          <w:szCs w:val="28"/>
          <w:highlight w:val="none"/>
        </w:rPr>
      </w:pPr>
      <w:r>
        <w:rPr>
          <w:rFonts w:hint="eastAsia" w:ascii="仿宋" w:hAnsi="仿宋" w:eastAsia="仿宋" w:cs="仿宋"/>
          <w:sz w:val="28"/>
          <w:szCs w:val="28"/>
          <w:highlight w:val="none"/>
        </w:rPr>
        <w:t>电话：                           电话：</w:t>
      </w:r>
    </w:p>
    <w:p w14:paraId="42C67D64">
      <w:pPr>
        <w:pStyle w:val="8"/>
        <w:spacing w:line="480" w:lineRule="exact"/>
        <w:ind w:firstLine="560" w:firstLineChars="200"/>
        <w:rPr>
          <w:rFonts w:hint="eastAsia" w:ascii="仿宋" w:hAnsi="仿宋" w:eastAsia="仿宋" w:cs="仿宋"/>
          <w:sz w:val="28"/>
          <w:szCs w:val="28"/>
          <w:highlight w:val="none"/>
        </w:rPr>
      </w:pPr>
    </w:p>
    <w:p w14:paraId="10C00533">
      <w:pPr>
        <w:pStyle w:val="8"/>
        <w:spacing w:line="480" w:lineRule="exact"/>
        <w:ind w:firstLine="0"/>
        <w:rPr>
          <w:rFonts w:hint="eastAsia" w:ascii="仿宋" w:hAnsi="仿宋" w:eastAsia="仿宋" w:cs="仿宋"/>
          <w:sz w:val="28"/>
          <w:szCs w:val="28"/>
          <w:highlight w:val="none"/>
        </w:rPr>
      </w:pPr>
      <w:r>
        <w:rPr>
          <w:rFonts w:hint="eastAsia" w:ascii="仿宋" w:hAnsi="仿宋" w:eastAsia="仿宋" w:cs="仿宋"/>
          <w:sz w:val="28"/>
          <w:szCs w:val="28"/>
          <w:highlight w:val="none"/>
        </w:rPr>
        <w:t>签约日期：                       签约日期：</w:t>
      </w:r>
    </w:p>
    <w:p w14:paraId="0CC6ED33">
      <w:pPr>
        <w:pStyle w:val="8"/>
        <w:spacing w:line="480" w:lineRule="exact"/>
        <w:ind w:firstLine="562" w:firstLineChars="200"/>
        <w:rPr>
          <w:rFonts w:hint="eastAsia" w:ascii="仿宋" w:hAnsi="仿宋" w:eastAsia="仿宋" w:cs="仿宋"/>
          <w:b/>
          <w:bCs/>
          <w:sz w:val="28"/>
          <w:szCs w:val="28"/>
          <w:highlight w:val="none"/>
        </w:rPr>
      </w:pPr>
    </w:p>
    <w:p w14:paraId="63D30888">
      <w:pPr>
        <w:pStyle w:val="8"/>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（技术参数附后）</w:t>
      </w:r>
    </w:p>
    <w:p w14:paraId="63CC594E">
      <w:pPr>
        <w:pStyle w:val="8"/>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（商务条件附后）</w:t>
      </w:r>
    </w:p>
    <w:p w14:paraId="69505177">
      <w:pPr>
        <w:spacing w:line="332" w:lineRule="auto"/>
        <w:ind w:firstLine="560" w:firstLineChars="200"/>
        <w:rPr>
          <w:rFonts w:hint="eastAsia" w:ascii="仿宋" w:hAnsi="仿宋" w:eastAsia="仿宋" w:cs="仿宋"/>
          <w:sz w:val="24"/>
          <w:highlight w:val="none"/>
        </w:rPr>
      </w:pPr>
      <w:r>
        <w:rPr>
          <w:rFonts w:hint="eastAsia" w:ascii="仿宋" w:hAnsi="仿宋" w:eastAsia="仿宋" w:cs="仿宋"/>
          <w:sz w:val="28"/>
          <w:szCs w:val="28"/>
          <w:highlight w:val="none"/>
        </w:rPr>
        <w:t>（需要特别说明的情况附后）</w:t>
      </w:r>
    </w:p>
    <w:p w14:paraId="387D7289">
      <w:pPr>
        <w:rPr>
          <w:rFonts w:hint="eastAsia" w:ascii="仿宋" w:hAnsi="仿宋" w:eastAsia="仿宋" w:cs="仿宋"/>
          <w:sz w:val="24"/>
          <w:highlight w:val="none"/>
        </w:rPr>
      </w:pPr>
      <w:r>
        <w:rPr>
          <w:rFonts w:hint="eastAsia" w:ascii="仿宋" w:hAnsi="仿宋" w:eastAsia="仿宋" w:cs="仿宋"/>
          <w:sz w:val="24"/>
          <w:highlight w:val="none"/>
        </w:rPr>
        <w:br w:type="page"/>
      </w:r>
    </w:p>
    <w:p w14:paraId="3780184A">
      <w:pPr>
        <w:pStyle w:val="3"/>
        <w:rPr>
          <w:rFonts w:hint="eastAsia" w:ascii="仿宋" w:hAnsi="仿宋" w:eastAsia="仿宋" w:cs="仿宋"/>
          <w:sz w:val="32"/>
          <w:szCs w:val="32"/>
          <w:highlight w:val="none"/>
        </w:rPr>
      </w:pPr>
      <w:bookmarkStart w:id="172" w:name="_Toc25068"/>
      <w:bookmarkStart w:id="173" w:name="_Toc6218"/>
      <w:bookmarkStart w:id="174" w:name="_Toc29286"/>
      <w:bookmarkStart w:id="175" w:name="_Toc25375"/>
      <w:bookmarkStart w:id="176" w:name="_Toc14374"/>
      <w:bookmarkStart w:id="177" w:name="_Toc15960"/>
      <w:r>
        <w:rPr>
          <w:rFonts w:hint="eastAsia" w:ascii="仿宋" w:hAnsi="仿宋" w:eastAsia="仿宋" w:cs="仿宋"/>
          <w:sz w:val="32"/>
          <w:szCs w:val="32"/>
          <w:highlight w:val="none"/>
        </w:rPr>
        <w:t>第四章、附件（响应文件参考格式）</w:t>
      </w:r>
      <w:bookmarkEnd w:id="172"/>
      <w:bookmarkEnd w:id="173"/>
      <w:bookmarkEnd w:id="174"/>
      <w:bookmarkEnd w:id="175"/>
      <w:bookmarkEnd w:id="176"/>
      <w:bookmarkEnd w:id="177"/>
    </w:p>
    <w:p w14:paraId="53820CEA">
      <w:pPr>
        <w:pStyle w:val="19"/>
        <w:ind w:firstLine="0" w:firstLineChars="0"/>
        <w:rPr>
          <w:rFonts w:hint="eastAsia" w:ascii="仿宋" w:hAnsi="仿宋" w:eastAsia="仿宋" w:cs="仿宋"/>
          <w:highlight w:val="none"/>
        </w:rPr>
      </w:pPr>
    </w:p>
    <w:p w14:paraId="585F89E4">
      <w:pPr>
        <w:pStyle w:val="19"/>
        <w:ind w:firstLine="0" w:firstLineChars="0"/>
        <w:rPr>
          <w:rFonts w:hint="eastAsia" w:ascii="仿宋" w:hAnsi="仿宋" w:eastAsia="仿宋" w:cs="仿宋"/>
          <w:highlight w:val="none"/>
        </w:rPr>
      </w:pPr>
    </w:p>
    <w:p w14:paraId="38E2236E">
      <w:pPr>
        <w:pStyle w:val="19"/>
        <w:ind w:firstLine="0" w:firstLineChars="0"/>
        <w:rPr>
          <w:rFonts w:hint="eastAsia" w:ascii="仿宋" w:hAnsi="仿宋" w:eastAsia="仿宋" w:cs="仿宋"/>
          <w:highlight w:val="none"/>
        </w:rPr>
      </w:pPr>
    </w:p>
    <w:p w14:paraId="3EF0AC35">
      <w:pPr>
        <w:pStyle w:val="19"/>
        <w:ind w:firstLine="0" w:firstLineChars="0"/>
        <w:rPr>
          <w:rFonts w:hint="eastAsia" w:ascii="仿宋" w:hAnsi="仿宋" w:eastAsia="仿宋" w:cs="仿宋"/>
          <w:highlight w:val="none"/>
        </w:rPr>
      </w:pPr>
    </w:p>
    <w:p w14:paraId="140F8905">
      <w:pPr>
        <w:pStyle w:val="19"/>
        <w:ind w:firstLine="0" w:firstLineChars="0"/>
        <w:rPr>
          <w:rFonts w:hint="eastAsia" w:ascii="仿宋" w:hAnsi="仿宋" w:eastAsia="仿宋" w:cs="仿宋"/>
          <w:highlight w:val="none"/>
        </w:rPr>
      </w:pPr>
    </w:p>
    <w:p w14:paraId="62736322">
      <w:pPr>
        <w:jc w:val="center"/>
        <w:rPr>
          <w:rFonts w:hint="eastAsia" w:ascii="仿宋" w:hAnsi="仿宋" w:eastAsia="仿宋" w:cs="仿宋"/>
          <w:sz w:val="84"/>
          <w:szCs w:val="84"/>
          <w:highlight w:val="none"/>
        </w:rPr>
      </w:pPr>
      <w:r>
        <w:rPr>
          <w:rFonts w:hint="eastAsia" w:ascii="仿宋" w:hAnsi="仿宋" w:eastAsia="仿宋" w:cs="仿宋"/>
          <w:sz w:val="84"/>
          <w:szCs w:val="84"/>
          <w:highlight w:val="none"/>
        </w:rPr>
        <w:t>询价响应文件</w:t>
      </w:r>
    </w:p>
    <w:p w14:paraId="75F89FC7">
      <w:pPr>
        <w:rPr>
          <w:rFonts w:hint="eastAsia" w:ascii="仿宋" w:hAnsi="仿宋" w:eastAsia="仿宋" w:cs="仿宋"/>
          <w:highlight w:val="none"/>
        </w:rPr>
      </w:pPr>
    </w:p>
    <w:p w14:paraId="500D7EBC">
      <w:pPr>
        <w:pStyle w:val="19"/>
        <w:ind w:firstLine="480"/>
        <w:rPr>
          <w:rFonts w:hint="eastAsia" w:ascii="仿宋" w:hAnsi="仿宋" w:eastAsia="仿宋" w:cs="仿宋"/>
          <w:highlight w:val="none"/>
        </w:rPr>
      </w:pPr>
    </w:p>
    <w:p w14:paraId="66AF2D38">
      <w:pPr>
        <w:pStyle w:val="19"/>
        <w:ind w:firstLine="480"/>
        <w:rPr>
          <w:rFonts w:hint="eastAsia" w:ascii="仿宋" w:hAnsi="仿宋" w:eastAsia="仿宋" w:cs="仿宋"/>
          <w:highlight w:val="none"/>
        </w:rPr>
      </w:pPr>
    </w:p>
    <w:p w14:paraId="14A12D89">
      <w:pPr>
        <w:pStyle w:val="19"/>
        <w:ind w:firstLine="480"/>
        <w:rPr>
          <w:rFonts w:hint="eastAsia" w:ascii="仿宋" w:hAnsi="仿宋" w:eastAsia="仿宋" w:cs="仿宋"/>
          <w:highlight w:val="none"/>
        </w:rPr>
      </w:pPr>
    </w:p>
    <w:p w14:paraId="14EEA027">
      <w:pPr>
        <w:pStyle w:val="19"/>
        <w:ind w:firstLine="480"/>
        <w:rPr>
          <w:rFonts w:hint="eastAsia" w:ascii="仿宋" w:hAnsi="仿宋" w:eastAsia="仿宋" w:cs="仿宋"/>
          <w:highlight w:val="none"/>
        </w:rPr>
      </w:pPr>
    </w:p>
    <w:p w14:paraId="1FCECDCB">
      <w:pPr>
        <w:pStyle w:val="19"/>
        <w:ind w:firstLine="480"/>
        <w:rPr>
          <w:rFonts w:hint="eastAsia" w:ascii="仿宋" w:hAnsi="仿宋" w:eastAsia="仿宋" w:cs="仿宋"/>
          <w:highlight w:val="none"/>
        </w:rPr>
      </w:pPr>
    </w:p>
    <w:p w14:paraId="685E9BF6">
      <w:pPr>
        <w:ind w:firstLine="1680" w:firstLineChars="600"/>
        <w:jc w:val="left"/>
        <w:rPr>
          <w:rFonts w:hint="eastAsia" w:ascii="仿宋" w:hAnsi="仿宋" w:eastAsia="仿宋" w:cs="仿宋"/>
          <w:highlight w:val="none"/>
          <w:u w:val="single"/>
        </w:rPr>
      </w:pPr>
      <w:r>
        <w:rPr>
          <w:rFonts w:hint="eastAsia" w:ascii="仿宋" w:hAnsi="仿宋" w:eastAsia="仿宋" w:cs="仿宋"/>
          <w:sz w:val="28"/>
          <w:szCs w:val="28"/>
          <w:highlight w:val="none"/>
        </w:rPr>
        <w:t>项目名称：</w:t>
      </w:r>
      <w:r>
        <w:rPr>
          <w:rFonts w:hint="eastAsia" w:ascii="仿宋" w:hAnsi="仿宋" w:eastAsia="仿宋" w:cs="仿宋"/>
          <w:sz w:val="28"/>
          <w:szCs w:val="28"/>
          <w:highlight w:val="none"/>
          <w:u w:val="single"/>
        </w:rPr>
        <w:t xml:space="preserve">                         </w:t>
      </w:r>
    </w:p>
    <w:p w14:paraId="31662745">
      <w:pPr>
        <w:rPr>
          <w:rFonts w:hint="eastAsia" w:ascii="仿宋" w:hAnsi="仿宋" w:eastAsia="仿宋" w:cs="仿宋"/>
          <w:highlight w:val="none"/>
        </w:rPr>
      </w:pPr>
    </w:p>
    <w:p w14:paraId="5B724B1D">
      <w:pPr>
        <w:rPr>
          <w:rFonts w:hint="eastAsia" w:ascii="仿宋" w:hAnsi="仿宋" w:eastAsia="仿宋" w:cs="仿宋"/>
          <w:highlight w:val="none"/>
        </w:rPr>
      </w:pPr>
    </w:p>
    <w:p w14:paraId="5288FBF0">
      <w:pPr>
        <w:ind w:firstLine="1680" w:firstLineChars="600"/>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项目编号：</w:t>
      </w:r>
      <w:r>
        <w:rPr>
          <w:rFonts w:hint="eastAsia" w:ascii="仿宋" w:hAnsi="仿宋" w:eastAsia="仿宋" w:cs="仿宋"/>
          <w:sz w:val="28"/>
          <w:szCs w:val="28"/>
          <w:highlight w:val="none"/>
          <w:u w:val="single"/>
        </w:rPr>
        <w:t xml:space="preserve">                         </w:t>
      </w:r>
    </w:p>
    <w:p w14:paraId="1528E420">
      <w:pPr>
        <w:rPr>
          <w:rFonts w:hint="eastAsia" w:ascii="仿宋" w:hAnsi="仿宋" w:eastAsia="仿宋" w:cs="仿宋"/>
          <w:highlight w:val="none"/>
        </w:rPr>
      </w:pPr>
    </w:p>
    <w:p w14:paraId="48AF569D">
      <w:pPr>
        <w:pStyle w:val="19"/>
        <w:ind w:firstLine="480"/>
        <w:rPr>
          <w:rFonts w:hint="eastAsia" w:ascii="仿宋" w:hAnsi="仿宋" w:eastAsia="仿宋" w:cs="仿宋"/>
          <w:highlight w:val="none"/>
        </w:rPr>
      </w:pPr>
    </w:p>
    <w:p w14:paraId="472E31EF">
      <w:pPr>
        <w:pStyle w:val="19"/>
        <w:ind w:firstLine="480"/>
        <w:rPr>
          <w:rFonts w:hint="eastAsia" w:ascii="仿宋" w:hAnsi="仿宋" w:eastAsia="仿宋" w:cs="仿宋"/>
          <w:highlight w:val="none"/>
        </w:rPr>
      </w:pPr>
    </w:p>
    <w:p w14:paraId="1C12DE6C">
      <w:pPr>
        <w:pStyle w:val="19"/>
        <w:ind w:firstLine="480"/>
        <w:rPr>
          <w:rFonts w:hint="eastAsia" w:ascii="仿宋" w:hAnsi="仿宋" w:eastAsia="仿宋" w:cs="仿宋"/>
          <w:highlight w:val="none"/>
        </w:rPr>
      </w:pPr>
    </w:p>
    <w:p w14:paraId="295AC522">
      <w:pPr>
        <w:ind w:firstLine="1680" w:firstLineChars="600"/>
        <w:rPr>
          <w:rFonts w:hint="eastAsia" w:ascii="仿宋" w:hAnsi="仿宋" w:eastAsia="仿宋" w:cs="仿宋"/>
          <w:sz w:val="28"/>
          <w:szCs w:val="28"/>
          <w:highlight w:val="none"/>
        </w:rPr>
      </w:pPr>
      <w:r>
        <w:rPr>
          <w:rFonts w:hint="eastAsia" w:ascii="仿宋" w:hAnsi="仿宋" w:eastAsia="仿宋" w:cs="仿宋"/>
          <w:sz w:val="28"/>
          <w:szCs w:val="28"/>
          <w:highlight w:val="none"/>
        </w:rPr>
        <w:t>单位（公章或自然人手印）</w:t>
      </w:r>
    </w:p>
    <w:p w14:paraId="4FE41808">
      <w:pPr>
        <w:rPr>
          <w:rFonts w:hint="eastAsia" w:ascii="仿宋" w:hAnsi="仿宋" w:eastAsia="仿宋" w:cs="仿宋"/>
          <w:sz w:val="28"/>
          <w:szCs w:val="28"/>
          <w:highlight w:val="none"/>
        </w:rPr>
      </w:pPr>
    </w:p>
    <w:p w14:paraId="12AEFD77">
      <w:pPr>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年   月   日</w:t>
      </w:r>
    </w:p>
    <w:p w14:paraId="081263E9">
      <w:pPr>
        <w:rPr>
          <w:rFonts w:hint="eastAsia" w:ascii="仿宋" w:hAnsi="仿宋" w:eastAsia="仿宋" w:cs="仿宋"/>
          <w:sz w:val="28"/>
          <w:szCs w:val="28"/>
          <w:highlight w:val="none"/>
        </w:rPr>
      </w:pPr>
      <w:r>
        <w:rPr>
          <w:rFonts w:hint="eastAsia" w:ascii="仿宋" w:hAnsi="仿宋" w:eastAsia="仿宋" w:cs="仿宋"/>
          <w:sz w:val="28"/>
          <w:szCs w:val="28"/>
          <w:highlight w:val="none"/>
        </w:rPr>
        <w:br w:type="page"/>
      </w:r>
    </w:p>
    <w:p w14:paraId="16C99AFF">
      <w:pPr>
        <w:pStyle w:val="4"/>
        <w:jc w:val="center"/>
        <w:rPr>
          <w:rFonts w:hint="eastAsia" w:ascii="仿宋" w:hAnsi="仿宋" w:eastAsia="仿宋" w:cs="仿宋"/>
          <w:highlight w:val="none"/>
        </w:rPr>
      </w:pPr>
      <w:bookmarkStart w:id="178" w:name="_Toc262628654"/>
      <w:bookmarkStart w:id="179" w:name="_Toc9148"/>
      <w:bookmarkStart w:id="180" w:name="_Toc6723"/>
      <w:bookmarkStart w:id="181" w:name="_Toc29761"/>
      <w:bookmarkStart w:id="182" w:name="_Toc19228"/>
      <w:bookmarkStart w:id="183" w:name="_Toc16219"/>
      <w:bookmarkStart w:id="184" w:name="_Toc475970888"/>
      <w:bookmarkStart w:id="185" w:name="_Toc32703"/>
      <w:r>
        <w:rPr>
          <w:rFonts w:hint="eastAsia" w:ascii="仿宋" w:hAnsi="仿宋" w:eastAsia="仿宋" w:cs="仿宋"/>
          <w:sz w:val="28"/>
          <w:szCs w:val="28"/>
          <w:highlight w:val="none"/>
        </w:rPr>
        <w:t>1、询价响应</w:t>
      </w:r>
      <w:bookmarkEnd w:id="178"/>
      <w:r>
        <w:rPr>
          <w:rFonts w:hint="eastAsia" w:ascii="仿宋" w:hAnsi="仿宋" w:eastAsia="仿宋" w:cs="仿宋"/>
          <w:sz w:val="28"/>
          <w:szCs w:val="28"/>
          <w:highlight w:val="none"/>
        </w:rPr>
        <w:t>书</w:t>
      </w:r>
      <w:bookmarkEnd w:id="179"/>
      <w:bookmarkEnd w:id="180"/>
      <w:bookmarkEnd w:id="181"/>
      <w:bookmarkEnd w:id="182"/>
      <w:bookmarkEnd w:id="183"/>
      <w:bookmarkEnd w:id="184"/>
      <w:bookmarkEnd w:id="185"/>
    </w:p>
    <w:p w14:paraId="28397B20">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致：江西企恒企业管理有限公司</w:t>
      </w:r>
    </w:p>
    <w:p w14:paraId="3C0D7190">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根据贵方为</w:t>
      </w:r>
      <w:r>
        <w:rPr>
          <w:rFonts w:hint="eastAsia" w:ascii="仿宋" w:hAnsi="仿宋" w:eastAsia="仿宋" w:cs="仿宋"/>
          <w:sz w:val="24"/>
          <w:highlight w:val="none"/>
          <w:u w:val="single"/>
        </w:rPr>
        <w:t>(项目名称)</w:t>
      </w:r>
      <w:r>
        <w:rPr>
          <w:rFonts w:hint="eastAsia" w:ascii="仿宋" w:hAnsi="仿宋" w:eastAsia="仿宋" w:cs="仿宋"/>
          <w:sz w:val="24"/>
          <w:highlight w:val="none"/>
        </w:rPr>
        <w:t>项目询价采购货物和服务的询价邀请</w:t>
      </w:r>
      <w:r>
        <w:rPr>
          <w:rFonts w:hint="eastAsia" w:ascii="仿宋" w:hAnsi="仿宋" w:eastAsia="仿宋" w:cs="仿宋"/>
          <w:sz w:val="24"/>
          <w:highlight w:val="none"/>
          <w:u w:val="single"/>
        </w:rPr>
        <w:t>(项目编号)</w:t>
      </w:r>
      <w:r>
        <w:rPr>
          <w:rFonts w:hint="eastAsia" w:ascii="仿宋" w:hAnsi="仿宋" w:eastAsia="仿宋" w:cs="仿宋"/>
          <w:sz w:val="24"/>
          <w:highlight w:val="none"/>
        </w:rPr>
        <w:t>，签字代表</w:t>
      </w:r>
      <w:r>
        <w:rPr>
          <w:rFonts w:hint="eastAsia" w:ascii="仿宋" w:hAnsi="仿宋" w:eastAsia="仿宋" w:cs="仿宋"/>
          <w:sz w:val="24"/>
          <w:highlight w:val="none"/>
          <w:u w:val="single"/>
        </w:rPr>
        <w:t>(姓名、职务)</w:t>
      </w:r>
      <w:r>
        <w:rPr>
          <w:rFonts w:hint="eastAsia" w:ascii="仿宋" w:hAnsi="仿宋" w:eastAsia="仿宋" w:cs="仿宋"/>
          <w:sz w:val="24"/>
          <w:highlight w:val="none"/>
        </w:rPr>
        <w:t>经正式授权并代表我方</w:t>
      </w:r>
      <w:r>
        <w:rPr>
          <w:rFonts w:hint="eastAsia" w:ascii="仿宋" w:hAnsi="仿宋" w:eastAsia="仿宋" w:cs="仿宋"/>
          <w:sz w:val="24"/>
          <w:highlight w:val="none"/>
          <w:u w:val="single"/>
        </w:rPr>
        <w:t>(单位名称、地址)</w:t>
      </w:r>
      <w:r>
        <w:rPr>
          <w:rFonts w:hint="eastAsia" w:ascii="仿宋" w:hAnsi="仿宋" w:eastAsia="仿宋" w:cs="仿宋"/>
          <w:sz w:val="24"/>
          <w:highlight w:val="none"/>
        </w:rPr>
        <w:t>提交下述文件正本一份及副本三份:</w:t>
      </w:r>
    </w:p>
    <w:p w14:paraId="3051C69B">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1、报价表</w:t>
      </w:r>
    </w:p>
    <w:p w14:paraId="49E88C1A">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2、分项报价表</w:t>
      </w:r>
    </w:p>
    <w:p w14:paraId="7EAAB5DD">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3、技术响应表</w:t>
      </w:r>
    </w:p>
    <w:p w14:paraId="3AA07F34">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4、商务响应表</w:t>
      </w:r>
    </w:p>
    <w:p w14:paraId="2EAFB668">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5、按询价通知书供应商须知和技术规格要求提供的有关文件</w:t>
      </w:r>
    </w:p>
    <w:p w14:paraId="00723967">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6、资格证明文件</w:t>
      </w:r>
    </w:p>
    <w:p w14:paraId="1F2443D9">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7、提交的询价保证金，金额为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p>
    <w:p w14:paraId="4939EAFD">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据此函,签字代表宣布同意如下:</w:t>
      </w:r>
    </w:p>
    <w:p w14:paraId="7AB7248F">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1、所附报价表中规定的应提交和交付的货物总价为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（用文字和数字表示的总价）。</w:t>
      </w:r>
    </w:p>
    <w:p w14:paraId="613503E9">
      <w:pPr>
        <w:spacing w:line="336"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2、我方将按询价通知书的规定履行合同责任和义务，并承诺响应文件中提供的所有材料真实有效（采购人有权核实响应文件中材料的真实性），成交后不随意弃标，否则，自愿接受相应的从重处罚。</w:t>
      </w:r>
    </w:p>
    <w:p w14:paraId="69A9A7C7">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3、我方已详细审查全部询价通知书，包括第</w:t>
      </w:r>
      <w:r>
        <w:rPr>
          <w:rFonts w:hint="eastAsia" w:ascii="仿宋" w:hAnsi="仿宋" w:eastAsia="仿宋" w:cs="仿宋"/>
          <w:sz w:val="24"/>
          <w:highlight w:val="none"/>
          <w:u w:val="single"/>
        </w:rPr>
        <w:t>(编号、补遗函)(如果有的话)</w:t>
      </w:r>
      <w:r>
        <w:rPr>
          <w:rFonts w:hint="eastAsia" w:ascii="仿宋" w:hAnsi="仿宋" w:eastAsia="仿宋" w:cs="仿宋"/>
          <w:sz w:val="24"/>
          <w:highlight w:val="none"/>
        </w:rPr>
        <w:t>。我们完全理解并同意放弃对这方面有不明及误解的权力。</w:t>
      </w:r>
    </w:p>
    <w:p w14:paraId="0BD0ECF1">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4、本询价有效期为自询价之日起</w:t>
      </w:r>
      <w:r>
        <w:rPr>
          <w:rFonts w:hint="eastAsia" w:ascii="仿宋" w:hAnsi="仿宋" w:eastAsia="仿宋" w:cs="仿宋"/>
          <w:sz w:val="24"/>
          <w:highlight w:val="none"/>
          <w:u w:val="single"/>
        </w:rPr>
        <w:t xml:space="preserve">    90   </w:t>
      </w:r>
      <w:r>
        <w:rPr>
          <w:rFonts w:hint="eastAsia" w:ascii="仿宋" w:hAnsi="仿宋" w:eastAsia="仿宋" w:cs="仿宋"/>
          <w:sz w:val="24"/>
          <w:highlight w:val="none"/>
        </w:rPr>
        <w:t>天。</w:t>
      </w:r>
    </w:p>
    <w:p w14:paraId="1F5941E5">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5、如果在规定的询价时间后，我方在询价有效期内撤回响应文件，询价保证金将不予退还。</w:t>
      </w:r>
    </w:p>
    <w:p w14:paraId="120DF88F">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6、我方同意提供按照贵方可能要求的与其询价有关的一切数据或资料。</w:t>
      </w:r>
    </w:p>
    <w:p w14:paraId="4A5F11F6">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7、与本询价有关的一切正式往来信函请寄:</w:t>
      </w:r>
    </w:p>
    <w:p w14:paraId="6E183D28">
      <w:pPr>
        <w:spacing w:line="336" w:lineRule="auto"/>
        <w:ind w:firstLine="480" w:firstLineChars="200"/>
        <w:rPr>
          <w:rFonts w:hint="eastAsia" w:ascii="仿宋" w:hAnsi="仿宋" w:eastAsia="仿宋" w:cs="仿宋"/>
          <w:sz w:val="24"/>
          <w:highlight w:val="none"/>
        </w:rPr>
      </w:pPr>
    </w:p>
    <w:p w14:paraId="675686BB">
      <w:pPr>
        <w:spacing w:line="336"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地址</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 xml:space="preserve">  传真</w:t>
      </w:r>
      <w:r>
        <w:rPr>
          <w:rFonts w:hint="eastAsia" w:ascii="仿宋" w:hAnsi="仿宋" w:eastAsia="仿宋" w:cs="仿宋"/>
          <w:sz w:val="24"/>
          <w:highlight w:val="none"/>
          <w:u w:val="single"/>
        </w:rPr>
        <w:t xml:space="preserve">                         </w:t>
      </w:r>
    </w:p>
    <w:p w14:paraId="5C336A10">
      <w:pPr>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电话</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 xml:space="preserve">  电子邮件</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 xml:space="preserve">                          </w:t>
      </w:r>
    </w:p>
    <w:p w14:paraId="06C26BD0">
      <w:pPr>
        <w:spacing w:line="336" w:lineRule="auto"/>
        <w:ind w:firstLine="480" w:firstLineChars="200"/>
        <w:rPr>
          <w:rFonts w:hint="eastAsia" w:ascii="仿宋" w:hAnsi="仿宋" w:eastAsia="仿宋" w:cs="仿宋"/>
          <w:sz w:val="24"/>
          <w:highlight w:val="none"/>
        </w:rPr>
      </w:pPr>
    </w:p>
    <w:p w14:paraId="52738FAB">
      <w:pPr>
        <w:spacing w:line="336"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法定代表人（或经营者或自然人）或供应商代表签字或章</w:t>
      </w:r>
      <w:r>
        <w:rPr>
          <w:rFonts w:hint="eastAsia" w:ascii="仿宋" w:hAnsi="仿宋" w:eastAsia="仿宋" w:cs="仿宋"/>
          <w:sz w:val="24"/>
          <w:highlight w:val="none"/>
          <w:u w:val="single"/>
        </w:rPr>
        <w:t xml:space="preserve">                       </w:t>
      </w:r>
    </w:p>
    <w:p w14:paraId="3B3E5672">
      <w:pPr>
        <w:spacing w:line="336"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供应商盖章（或自然人手印）</w:t>
      </w:r>
      <w:r>
        <w:rPr>
          <w:rFonts w:hint="eastAsia" w:ascii="仿宋" w:hAnsi="仿宋" w:eastAsia="仿宋" w:cs="仿宋"/>
          <w:sz w:val="24"/>
          <w:highlight w:val="none"/>
          <w:u w:val="single"/>
        </w:rPr>
        <w:t xml:space="preserve">                            </w:t>
      </w:r>
    </w:p>
    <w:p w14:paraId="12021188">
      <w:pPr>
        <w:spacing w:line="336"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日期</w:t>
      </w:r>
      <w:r>
        <w:rPr>
          <w:rFonts w:hint="eastAsia" w:ascii="仿宋" w:hAnsi="仿宋" w:eastAsia="仿宋" w:cs="仿宋"/>
          <w:sz w:val="24"/>
          <w:highlight w:val="none"/>
          <w:u w:val="single"/>
        </w:rPr>
        <w:t xml:space="preserve">                        </w:t>
      </w:r>
    </w:p>
    <w:p w14:paraId="490FB49D">
      <w:pPr>
        <w:rPr>
          <w:rFonts w:hint="eastAsia" w:ascii="仿宋" w:hAnsi="仿宋" w:eastAsia="仿宋" w:cs="仿宋"/>
          <w:sz w:val="24"/>
          <w:highlight w:val="none"/>
          <w:u w:val="single"/>
        </w:rPr>
      </w:pPr>
      <w:r>
        <w:rPr>
          <w:rFonts w:hint="eastAsia" w:ascii="仿宋" w:hAnsi="仿宋" w:eastAsia="仿宋" w:cs="仿宋"/>
          <w:sz w:val="24"/>
          <w:highlight w:val="none"/>
          <w:u w:val="single"/>
        </w:rPr>
        <w:br w:type="page"/>
      </w:r>
    </w:p>
    <w:p w14:paraId="671BAA28">
      <w:pPr>
        <w:rPr>
          <w:rFonts w:hint="eastAsia" w:ascii="仿宋" w:hAnsi="仿宋" w:eastAsia="仿宋" w:cs="仿宋"/>
          <w:highlight w:val="none"/>
        </w:rPr>
        <w:sectPr>
          <w:footerReference r:id="rId3" w:type="default"/>
          <w:pgSz w:w="11906" w:h="16838"/>
          <w:pgMar w:top="1440" w:right="1800" w:bottom="1440" w:left="1800" w:header="851" w:footer="992" w:gutter="0"/>
          <w:pgNumType w:start="1"/>
          <w:cols w:space="425" w:num="1"/>
          <w:docGrid w:type="lines" w:linePitch="312" w:charSpace="0"/>
        </w:sectPr>
      </w:pPr>
    </w:p>
    <w:p w14:paraId="113740E5">
      <w:pPr>
        <w:pStyle w:val="4"/>
        <w:jc w:val="center"/>
        <w:rPr>
          <w:rFonts w:hint="eastAsia" w:ascii="仿宋" w:hAnsi="仿宋" w:eastAsia="仿宋" w:cs="仿宋"/>
          <w:highlight w:val="none"/>
        </w:rPr>
      </w:pPr>
      <w:bookmarkStart w:id="186" w:name="_Toc27743"/>
      <w:bookmarkStart w:id="187" w:name="_Toc24827"/>
      <w:bookmarkStart w:id="188" w:name="_Toc18902"/>
      <w:bookmarkStart w:id="189" w:name="_Toc902"/>
      <w:bookmarkStart w:id="190" w:name="_Toc16478"/>
      <w:bookmarkStart w:id="191" w:name="_Toc223948599"/>
      <w:bookmarkStart w:id="192" w:name="_Toc225565937"/>
      <w:bookmarkStart w:id="193" w:name="_Toc9159"/>
      <w:bookmarkStart w:id="194" w:name="_Toc475970889"/>
      <w:r>
        <w:rPr>
          <w:rFonts w:hint="eastAsia" w:ascii="仿宋" w:hAnsi="仿宋" w:eastAsia="仿宋" w:cs="仿宋"/>
          <w:sz w:val="28"/>
          <w:szCs w:val="28"/>
          <w:highlight w:val="none"/>
        </w:rPr>
        <w:t>2、报 价 表</w:t>
      </w:r>
      <w:bookmarkEnd w:id="186"/>
      <w:bookmarkEnd w:id="187"/>
      <w:bookmarkEnd w:id="188"/>
      <w:bookmarkEnd w:id="189"/>
      <w:bookmarkEnd w:id="190"/>
      <w:bookmarkEnd w:id="191"/>
      <w:bookmarkEnd w:id="192"/>
      <w:bookmarkEnd w:id="193"/>
      <w:bookmarkEnd w:id="194"/>
    </w:p>
    <w:p w14:paraId="575C61E6">
      <w:pPr>
        <w:spacing w:line="360" w:lineRule="auto"/>
        <w:rPr>
          <w:rFonts w:hint="eastAsia" w:ascii="仿宋" w:hAnsi="仿宋" w:eastAsia="仿宋" w:cs="仿宋"/>
          <w:sz w:val="24"/>
          <w:highlight w:val="none"/>
        </w:rPr>
      </w:pPr>
      <w:r>
        <w:rPr>
          <w:rFonts w:hint="eastAsia" w:ascii="仿宋" w:hAnsi="仿宋" w:eastAsia="仿宋" w:cs="仿宋"/>
          <w:sz w:val="24"/>
          <w:highlight w:val="none"/>
        </w:rPr>
        <w:t>供应商名称：                                                      项目编号：</w:t>
      </w:r>
    </w:p>
    <w:tbl>
      <w:tblPr>
        <w:tblStyle w:val="20"/>
        <w:tblW w:w="4998"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2482"/>
        <w:gridCol w:w="700"/>
        <w:gridCol w:w="700"/>
        <w:gridCol w:w="2455"/>
        <w:gridCol w:w="1144"/>
        <w:gridCol w:w="2065"/>
        <w:gridCol w:w="1938"/>
        <w:gridCol w:w="1026"/>
      </w:tblGrid>
      <w:tr w14:paraId="636979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349" w:type="pct"/>
            <w:vAlign w:val="center"/>
          </w:tcPr>
          <w:p w14:paraId="49B860F7">
            <w:pPr>
              <w:spacing w:line="432" w:lineRule="auto"/>
              <w:jc w:val="center"/>
              <w:rPr>
                <w:rFonts w:hint="eastAsia" w:ascii="仿宋" w:hAnsi="仿宋" w:eastAsia="仿宋" w:cs="仿宋"/>
                <w:sz w:val="24"/>
                <w:highlight w:val="none"/>
              </w:rPr>
            </w:pPr>
            <w:r>
              <w:rPr>
                <w:rFonts w:hint="eastAsia" w:ascii="仿宋" w:hAnsi="仿宋" w:eastAsia="仿宋" w:cs="仿宋"/>
                <w:sz w:val="24"/>
                <w:highlight w:val="none"/>
              </w:rPr>
              <w:t>序号</w:t>
            </w:r>
          </w:p>
        </w:tc>
        <w:tc>
          <w:tcPr>
            <w:tcW w:w="922" w:type="pct"/>
            <w:vAlign w:val="center"/>
          </w:tcPr>
          <w:p w14:paraId="1763012C">
            <w:pPr>
              <w:spacing w:line="432" w:lineRule="auto"/>
              <w:jc w:val="center"/>
              <w:rPr>
                <w:rFonts w:hint="eastAsia" w:ascii="仿宋" w:hAnsi="仿宋" w:eastAsia="仿宋" w:cs="仿宋"/>
                <w:sz w:val="24"/>
                <w:highlight w:val="none"/>
              </w:rPr>
            </w:pPr>
            <w:r>
              <w:rPr>
                <w:rFonts w:hint="eastAsia" w:ascii="仿宋" w:hAnsi="仿宋" w:eastAsia="仿宋" w:cs="仿宋"/>
                <w:sz w:val="24"/>
                <w:highlight w:val="none"/>
              </w:rPr>
              <w:t>项目名称</w:t>
            </w:r>
          </w:p>
        </w:tc>
        <w:tc>
          <w:tcPr>
            <w:tcW w:w="260" w:type="pct"/>
            <w:vAlign w:val="center"/>
          </w:tcPr>
          <w:p w14:paraId="3455E229">
            <w:pPr>
              <w:spacing w:line="432" w:lineRule="auto"/>
              <w:jc w:val="center"/>
              <w:rPr>
                <w:rFonts w:hint="eastAsia" w:ascii="仿宋" w:hAnsi="仿宋" w:eastAsia="仿宋" w:cs="仿宋"/>
                <w:sz w:val="24"/>
                <w:highlight w:val="none"/>
              </w:rPr>
            </w:pPr>
            <w:r>
              <w:rPr>
                <w:rFonts w:hint="eastAsia" w:ascii="仿宋" w:hAnsi="仿宋" w:eastAsia="仿宋" w:cs="仿宋"/>
                <w:sz w:val="24"/>
                <w:highlight w:val="none"/>
              </w:rPr>
              <w:t>单位</w:t>
            </w:r>
          </w:p>
        </w:tc>
        <w:tc>
          <w:tcPr>
            <w:tcW w:w="260" w:type="pct"/>
            <w:vAlign w:val="center"/>
          </w:tcPr>
          <w:p w14:paraId="425D9839">
            <w:pPr>
              <w:spacing w:line="432" w:lineRule="auto"/>
              <w:jc w:val="center"/>
              <w:rPr>
                <w:rFonts w:hint="eastAsia" w:ascii="仿宋" w:hAnsi="仿宋" w:eastAsia="仿宋" w:cs="仿宋"/>
                <w:sz w:val="24"/>
                <w:highlight w:val="none"/>
              </w:rPr>
            </w:pPr>
            <w:r>
              <w:rPr>
                <w:rFonts w:hint="eastAsia" w:ascii="仿宋" w:hAnsi="仿宋" w:eastAsia="仿宋" w:cs="仿宋"/>
                <w:sz w:val="24"/>
                <w:highlight w:val="none"/>
              </w:rPr>
              <w:t>数量</w:t>
            </w:r>
          </w:p>
        </w:tc>
        <w:tc>
          <w:tcPr>
            <w:tcW w:w="912" w:type="pct"/>
            <w:vAlign w:val="center"/>
          </w:tcPr>
          <w:p w14:paraId="01D963F2">
            <w:pPr>
              <w:spacing w:line="432" w:lineRule="auto"/>
              <w:jc w:val="center"/>
              <w:rPr>
                <w:rFonts w:hint="eastAsia" w:ascii="仿宋" w:hAnsi="仿宋" w:eastAsia="仿宋" w:cs="仿宋"/>
                <w:sz w:val="24"/>
                <w:highlight w:val="none"/>
              </w:rPr>
            </w:pPr>
            <w:r>
              <w:rPr>
                <w:rFonts w:hint="eastAsia" w:ascii="仿宋" w:hAnsi="仿宋" w:eastAsia="仿宋" w:cs="仿宋"/>
                <w:sz w:val="24"/>
                <w:highlight w:val="none"/>
                <w:lang w:val="en-US" w:eastAsia="zh-CN"/>
              </w:rPr>
              <w:t>响应</w:t>
            </w:r>
            <w:r>
              <w:rPr>
                <w:rFonts w:hint="eastAsia" w:ascii="仿宋" w:hAnsi="仿宋" w:eastAsia="仿宋" w:cs="仿宋"/>
                <w:sz w:val="24"/>
                <w:highlight w:val="none"/>
              </w:rPr>
              <w:t>供应商名称</w:t>
            </w:r>
          </w:p>
        </w:tc>
        <w:tc>
          <w:tcPr>
            <w:tcW w:w="425" w:type="pct"/>
            <w:vAlign w:val="center"/>
          </w:tcPr>
          <w:p w14:paraId="018B2236">
            <w:pPr>
              <w:spacing w:line="432" w:lineRule="auto"/>
              <w:jc w:val="center"/>
              <w:rPr>
                <w:rFonts w:hint="eastAsia" w:ascii="仿宋" w:hAnsi="仿宋" w:eastAsia="仿宋" w:cs="仿宋"/>
                <w:sz w:val="24"/>
                <w:highlight w:val="none"/>
              </w:rPr>
            </w:pPr>
            <w:r>
              <w:rPr>
                <w:rFonts w:hint="eastAsia" w:ascii="仿宋" w:hAnsi="仿宋" w:eastAsia="仿宋" w:cs="仿宋"/>
                <w:sz w:val="24"/>
                <w:highlight w:val="none"/>
              </w:rPr>
              <w:t>总报价</w:t>
            </w:r>
          </w:p>
        </w:tc>
        <w:tc>
          <w:tcPr>
            <w:tcW w:w="767" w:type="pct"/>
            <w:vAlign w:val="center"/>
          </w:tcPr>
          <w:p w14:paraId="6815574D">
            <w:pPr>
              <w:spacing w:line="432" w:lineRule="auto"/>
              <w:jc w:val="center"/>
              <w:rPr>
                <w:rFonts w:hint="eastAsia" w:ascii="仿宋" w:hAnsi="仿宋" w:eastAsia="仿宋" w:cs="仿宋"/>
                <w:sz w:val="24"/>
                <w:highlight w:val="none"/>
              </w:rPr>
            </w:pPr>
            <w:r>
              <w:rPr>
                <w:rFonts w:hint="eastAsia" w:ascii="仿宋" w:hAnsi="仿宋" w:eastAsia="仿宋" w:cs="仿宋"/>
                <w:sz w:val="24"/>
                <w:highlight w:val="none"/>
              </w:rPr>
              <w:t>交货期</w:t>
            </w:r>
          </w:p>
        </w:tc>
        <w:tc>
          <w:tcPr>
            <w:tcW w:w="720" w:type="pct"/>
            <w:vAlign w:val="center"/>
          </w:tcPr>
          <w:p w14:paraId="66574D85">
            <w:pPr>
              <w:spacing w:line="432" w:lineRule="auto"/>
              <w:jc w:val="center"/>
              <w:rPr>
                <w:rFonts w:hint="eastAsia" w:ascii="仿宋" w:hAnsi="仿宋" w:eastAsia="仿宋" w:cs="仿宋"/>
                <w:sz w:val="24"/>
                <w:highlight w:val="none"/>
              </w:rPr>
            </w:pPr>
            <w:r>
              <w:rPr>
                <w:rFonts w:hint="eastAsia" w:ascii="仿宋" w:hAnsi="仿宋" w:eastAsia="仿宋" w:cs="仿宋"/>
                <w:sz w:val="24"/>
                <w:highlight w:val="none"/>
              </w:rPr>
              <w:t>交货地点</w:t>
            </w:r>
          </w:p>
        </w:tc>
        <w:tc>
          <w:tcPr>
            <w:tcW w:w="381" w:type="pct"/>
            <w:vAlign w:val="center"/>
          </w:tcPr>
          <w:p w14:paraId="1378A083">
            <w:pPr>
              <w:spacing w:line="432" w:lineRule="auto"/>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14:paraId="549713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349" w:type="pct"/>
            <w:vAlign w:val="center"/>
          </w:tcPr>
          <w:p w14:paraId="7FBCEA28">
            <w:pPr>
              <w:spacing w:line="432" w:lineRule="auto"/>
              <w:jc w:val="center"/>
              <w:rPr>
                <w:rFonts w:hint="eastAsia" w:ascii="仿宋" w:hAnsi="仿宋" w:eastAsia="仿宋" w:cs="仿宋"/>
                <w:sz w:val="28"/>
                <w:highlight w:val="none"/>
                <w:lang w:val="en-US" w:eastAsia="zh-CN"/>
              </w:rPr>
            </w:pPr>
            <w:r>
              <w:rPr>
                <w:rFonts w:hint="eastAsia" w:ascii="仿宋" w:hAnsi="仿宋" w:eastAsia="仿宋" w:cs="仿宋"/>
                <w:sz w:val="28"/>
                <w:highlight w:val="none"/>
                <w:lang w:val="en-US" w:eastAsia="zh-CN"/>
              </w:rPr>
              <w:t>1</w:t>
            </w:r>
          </w:p>
        </w:tc>
        <w:tc>
          <w:tcPr>
            <w:tcW w:w="922" w:type="pct"/>
            <w:vAlign w:val="center"/>
          </w:tcPr>
          <w:p w14:paraId="03CA1943">
            <w:pPr>
              <w:spacing w:line="432" w:lineRule="auto"/>
              <w:jc w:val="center"/>
              <w:rPr>
                <w:rFonts w:hint="eastAsia" w:ascii="仿宋" w:hAnsi="仿宋" w:eastAsia="仿宋" w:cs="仿宋"/>
                <w:sz w:val="28"/>
                <w:highlight w:val="none"/>
              </w:rPr>
            </w:pPr>
            <w:r>
              <w:rPr>
                <w:rFonts w:hint="eastAsia" w:ascii="仿宋" w:hAnsi="仿宋" w:eastAsia="仿宋" w:cs="仿宋"/>
                <w:sz w:val="28"/>
                <w:highlight w:val="none"/>
              </w:rPr>
              <w:t>吉安职业技术学院计算机网络实训室设备采购项目</w:t>
            </w:r>
          </w:p>
        </w:tc>
        <w:tc>
          <w:tcPr>
            <w:tcW w:w="260" w:type="pct"/>
            <w:vAlign w:val="center"/>
          </w:tcPr>
          <w:p w14:paraId="257E4002">
            <w:pPr>
              <w:spacing w:line="432" w:lineRule="auto"/>
              <w:jc w:val="center"/>
              <w:rPr>
                <w:rFonts w:hint="eastAsia" w:ascii="仿宋" w:hAnsi="仿宋" w:eastAsia="仿宋" w:cs="仿宋"/>
                <w:sz w:val="28"/>
                <w:highlight w:val="none"/>
                <w:lang w:val="en-US" w:eastAsia="zh-CN"/>
              </w:rPr>
            </w:pPr>
            <w:r>
              <w:rPr>
                <w:rFonts w:hint="eastAsia" w:ascii="仿宋" w:hAnsi="仿宋" w:eastAsia="仿宋" w:cs="仿宋"/>
                <w:sz w:val="28"/>
                <w:highlight w:val="none"/>
                <w:lang w:val="en-US" w:eastAsia="zh-CN"/>
              </w:rPr>
              <w:t>1</w:t>
            </w:r>
          </w:p>
        </w:tc>
        <w:tc>
          <w:tcPr>
            <w:tcW w:w="260" w:type="pct"/>
            <w:vAlign w:val="center"/>
          </w:tcPr>
          <w:p w14:paraId="6DE731BE">
            <w:pPr>
              <w:spacing w:line="432" w:lineRule="auto"/>
              <w:jc w:val="center"/>
              <w:rPr>
                <w:rFonts w:hint="eastAsia" w:ascii="仿宋" w:hAnsi="仿宋" w:eastAsia="仿宋" w:cs="仿宋"/>
                <w:sz w:val="28"/>
                <w:highlight w:val="none"/>
                <w:lang w:val="en-US" w:eastAsia="zh-CN"/>
              </w:rPr>
            </w:pPr>
            <w:r>
              <w:rPr>
                <w:rFonts w:hint="eastAsia" w:ascii="仿宋" w:hAnsi="仿宋" w:eastAsia="仿宋" w:cs="仿宋"/>
                <w:sz w:val="28"/>
                <w:highlight w:val="none"/>
                <w:lang w:val="en-US" w:eastAsia="zh-CN"/>
              </w:rPr>
              <w:t>批</w:t>
            </w:r>
          </w:p>
        </w:tc>
        <w:tc>
          <w:tcPr>
            <w:tcW w:w="912" w:type="pct"/>
            <w:vAlign w:val="center"/>
          </w:tcPr>
          <w:p w14:paraId="5F3B5EAB">
            <w:pPr>
              <w:spacing w:line="432" w:lineRule="auto"/>
              <w:jc w:val="center"/>
              <w:rPr>
                <w:rFonts w:hint="eastAsia" w:ascii="仿宋" w:hAnsi="仿宋" w:eastAsia="仿宋" w:cs="仿宋"/>
                <w:sz w:val="28"/>
                <w:highlight w:val="none"/>
              </w:rPr>
            </w:pPr>
          </w:p>
        </w:tc>
        <w:tc>
          <w:tcPr>
            <w:tcW w:w="425" w:type="pct"/>
            <w:vAlign w:val="center"/>
          </w:tcPr>
          <w:p w14:paraId="202A178A">
            <w:pPr>
              <w:spacing w:line="432" w:lineRule="auto"/>
              <w:jc w:val="center"/>
              <w:rPr>
                <w:rFonts w:hint="eastAsia" w:ascii="仿宋" w:hAnsi="仿宋" w:eastAsia="仿宋" w:cs="仿宋"/>
                <w:sz w:val="28"/>
                <w:highlight w:val="none"/>
              </w:rPr>
            </w:pPr>
          </w:p>
        </w:tc>
        <w:tc>
          <w:tcPr>
            <w:tcW w:w="767" w:type="pct"/>
            <w:vAlign w:val="center"/>
          </w:tcPr>
          <w:p w14:paraId="06986D07">
            <w:pPr>
              <w:spacing w:line="432" w:lineRule="auto"/>
              <w:jc w:val="center"/>
              <w:rPr>
                <w:rFonts w:hint="eastAsia" w:ascii="仿宋" w:hAnsi="仿宋" w:eastAsia="仿宋" w:cs="仿宋"/>
                <w:sz w:val="28"/>
                <w:highlight w:val="none"/>
              </w:rPr>
            </w:pPr>
            <w:r>
              <w:rPr>
                <w:rFonts w:hint="eastAsia" w:ascii="仿宋" w:hAnsi="仿宋" w:eastAsia="仿宋" w:cs="仿宋"/>
                <w:sz w:val="28"/>
                <w:highlight w:val="none"/>
              </w:rPr>
              <w:t>合同签订后30个日历天内完成全部设备供货、安装、调试并交付使用。</w:t>
            </w:r>
          </w:p>
        </w:tc>
        <w:tc>
          <w:tcPr>
            <w:tcW w:w="720" w:type="pct"/>
            <w:vAlign w:val="center"/>
          </w:tcPr>
          <w:p w14:paraId="5EF2B4C4">
            <w:pPr>
              <w:spacing w:line="432" w:lineRule="auto"/>
              <w:jc w:val="center"/>
              <w:rPr>
                <w:rFonts w:hint="eastAsia" w:ascii="仿宋" w:hAnsi="仿宋" w:eastAsia="仿宋" w:cs="仿宋"/>
                <w:sz w:val="28"/>
                <w:highlight w:val="none"/>
              </w:rPr>
            </w:pPr>
            <w:r>
              <w:rPr>
                <w:rFonts w:hint="eastAsia" w:ascii="仿宋" w:hAnsi="仿宋" w:eastAsia="仿宋" w:cs="仿宋"/>
                <w:sz w:val="28"/>
                <w:highlight w:val="none"/>
              </w:rPr>
              <w:t>采购人指定地点（吉安职业技术学院计算机网络实训室）</w:t>
            </w:r>
          </w:p>
        </w:tc>
        <w:tc>
          <w:tcPr>
            <w:tcW w:w="381" w:type="pct"/>
            <w:vAlign w:val="center"/>
          </w:tcPr>
          <w:p w14:paraId="256994E0">
            <w:pPr>
              <w:spacing w:line="432" w:lineRule="auto"/>
              <w:jc w:val="center"/>
              <w:rPr>
                <w:rFonts w:hint="eastAsia" w:ascii="仿宋" w:hAnsi="仿宋" w:eastAsia="仿宋" w:cs="仿宋"/>
                <w:sz w:val="28"/>
                <w:highlight w:val="none"/>
              </w:rPr>
            </w:pPr>
          </w:p>
        </w:tc>
      </w:tr>
    </w:tbl>
    <w:p w14:paraId="4AFECBD6">
      <w:pPr>
        <w:rPr>
          <w:rFonts w:hint="eastAsia" w:ascii="仿宋" w:hAnsi="仿宋" w:eastAsia="仿宋" w:cs="仿宋"/>
          <w:b/>
          <w:bCs/>
          <w:sz w:val="24"/>
          <w:highlight w:val="none"/>
        </w:rPr>
      </w:pPr>
      <w:r>
        <w:rPr>
          <w:rFonts w:hint="eastAsia" w:ascii="仿宋" w:hAnsi="仿宋" w:eastAsia="仿宋" w:cs="仿宋"/>
          <w:b/>
          <w:bCs/>
          <w:sz w:val="24"/>
          <w:highlight w:val="none"/>
        </w:rPr>
        <w:t>注： 小、微企业产品、节能产品、环境标志产品在备注栏中注明，否则产生的一切后果由供应商承担。</w:t>
      </w:r>
    </w:p>
    <w:p w14:paraId="3391DD0D">
      <w:pPr>
        <w:rPr>
          <w:rFonts w:hint="eastAsia" w:ascii="仿宋" w:hAnsi="仿宋" w:eastAsia="仿宋" w:cs="仿宋"/>
          <w:highlight w:val="none"/>
        </w:rPr>
      </w:pPr>
    </w:p>
    <w:p w14:paraId="556ACB6B">
      <w:pPr>
        <w:pStyle w:val="19"/>
        <w:ind w:firstLine="480"/>
        <w:rPr>
          <w:rFonts w:hint="eastAsia" w:ascii="仿宋" w:hAnsi="仿宋" w:eastAsia="仿宋" w:cs="仿宋"/>
          <w:highlight w:val="none"/>
        </w:rPr>
      </w:pPr>
    </w:p>
    <w:p w14:paraId="28859F67">
      <w:pPr>
        <w:spacing w:line="360" w:lineRule="auto"/>
        <w:rPr>
          <w:rFonts w:hint="eastAsia" w:ascii="仿宋" w:hAnsi="仿宋" w:eastAsia="仿宋" w:cs="仿宋"/>
          <w:sz w:val="24"/>
          <w:highlight w:val="none"/>
        </w:rPr>
      </w:pPr>
    </w:p>
    <w:p w14:paraId="4BB8A503">
      <w:pPr>
        <w:spacing w:line="360" w:lineRule="auto"/>
        <w:rPr>
          <w:rFonts w:hint="eastAsia" w:ascii="仿宋" w:hAnsi="仿宋" w:eastAsia="仿宋" w:cs="仿宋"/>
          <w:sz w:val="24"/>
          <w:highlight w:val="none"/>
        </w:rPr>
      </w:pPr>
    </w:p>
    <w:p w14:paraId="04CFC496">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供应商盖章（或自然人手印）：</w:t>
      </w:r>
      <w:r>
        <w:rPr>
          <w:rFonts w:hint="eastAsia" w:ascii="仿宋" w:hAnsi="仿宋" w:eastAsia="仿宋" w:cs="仿宋"/>
          <w:sz w:val="24"/>
          <w:highlight w:val="none"/>
          <w:u w:val="single"/>
        </w:rPr>
        <w:t xml:space="preserve">                           </w:t>
      </w:r>
    </w:p>
    <w:p w14:paraId="20B648D0">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法定代表人（或经营者或自然人）或供应商代表签字或章：</w:t>
      </w:r>
      <w:r>
        <w:rPr>
          <w:rFonts w:hint="eastAsia" w:ascii="仿宋" w:hAnsi="仿宋" w:eastAsia="仿宋" w:cs="仿宋"/>
          <w:sz w:val="24"/>
          <w:highlight w:val="none"/>
          <w:u w:val="single"/>
        </w:rPr>
        <w:t xml:space="preserve">                           </w:t>
      </w:r>
    </w:p>
    <w:p w14:paraId="13DDFB86">
      <w:pPr>
        <w:rPr>
          <w:rFonts w:hint="eastAsia" w:ascii="仿宋" w:hAnsi="仿宋" w:eastAsia="仿宋" w:cs="仿宋"/>
          <w:sz w:val="24"/>
          <w:highlight w:val="none"/>
          <w:u w:val="single"/>
        </w:rPr>
      </w:pPr>
      <w:r>
        <w:rPr>
          <w:rFonts w:hint="eastAsia" w:ascii="仿宋" w:hAnsi="仿宋" w:eastAsia="仿宋" w:cs="仿宋"/>
          <w:sz w:val="24"/>
          <w:highlight w:val="none"/>
          <w:u w:val="single"/>
        </w:rPr>
        <w:br w:type="page"/>
      </w:r>
    </w:p>
    <w:p w14:paraId="77D6A1AF">
      <w:pPr>
        <w:pStyle w:val="4"/>
        <w:jc w:val="center"/>
        <w:rPr>
          <w:rFonts w:hint="eastAsia" w:ascii="仿宋" w:hAnsi="仿宋" w:eastAsia="仿宋" w:cs="仿宋"/>
          <w:highlight w:val="none"/>
        </w:rPr>
      </w:pPr>
      <w:bookmarkStart w:id="195" w:name="_Toc19163"/>
      <w:bookmarkStart w:id="196" w:name="_Toc1623"/>
      <w:bookmarkStart w:id="197" w:name="_Toc29162"/>
      <w:bookmarkStart w:id="198" w:name="_Toc377477460"/>
      <w:bookmarkStart w:id="199" w:name="_Toc23136"/>
      <w:bookmarkStart w:id="200" w:name="_Toc5399"/>
      <w:bookmarkStart w:id="201" w:name="_Toc475970890"/>
      <w:bookmarkStart w:id="202" w:name="_Toc13592"/>
      <w:r>
        <w:rPr>
          <w:rFonts w:hint="eastAsia" w:ascii="仿宋" w:hAnsi="仿宋" w:eastAsia="仿宋" w:cs="仿宋"/>
          <w:sz w:val="28"/>
          <w:szCs w:val="28"/>
          <w:highlight w:val="none"/>
        </w:rPr>
        <w:t>3、分项报价表</w:t>
      </w:r>
      <w:bookmarkEnd w:id="195"/>
      <w:bookmarkEnd w:id="196"/>
      <w:bookmarkEnd w:id="197"/>
      <w:bookmarkEnd w:id="198"/>
      <w:bookmarkEnd w:id="199"/>
      <w:bookmarkEnd w:id="200"/>
      <w:bookmarkEnd w:id="201"/>
      <w:bookmarkEnd w:id="202"/>
    </w:p>
    <w:p w14:paraId="362D7E33">
      <w:pPr>
        <w:rPr>
          <w:rFonts w:hint="eastAsia" w:ascii="仿宋" w:hAnsi="仿宋" w:eastAsia="仿宋" w:cs="仿宋"/>
          <w:sz w:val="24"/>
          <w:highlight w:val="none"/>
        </w:rPr>
      </w:pPr>
      <w:r>
        <w:rPr>
          <w:rFonts w:hint="eastAsia" w:ascii="仿宋" w:hAnsi="仿宋" w:eastAsia="仿宋" w:cs="仿宋"/>
          <w:sz w:val="24"/>
          <w:highlight w:val="none"/>
        </w:rPr>
        <w:t>供应商名称：                                                              项目编号：</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
        <w:gridCol w:w="1087"/>
        <w:gridCol w:w="1325"/>
        <w:gridCol w:w="1187"/>
        <w:gridCol w:w="1024"/>
        <w:gridCol w:w="1062"/>
        <w:gridCol w:w="1121"/>
        <w:gridCol w:w="29"/>
        <w:gridCol w:w="1124"/>
        <w:gridCol w:w="1175"/>
        <w:gridCol w:w="1175"/>
        <w:gridCol w:w="1121"/>
        <w:gridCol w:w="1121"/>
      </w:tblGrid>
      <w:tr w14:paraId="729D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8" w:type="dxa"/>
            <w:vAlign w:val="center"/>
          </w:tcPr>
          <w:p w14:paraId="53B2A2AC">
            <w:pPr>
              <w:jc w:val="center"/>
              <w:rPr>
                <w:rFonts w:hint="eastAsia" w:ascii="仿宋" w:hAnsi="仿宋" w:eastAsia="仿宋" w:cs="仿宋"/>
                <w:sz w:val="24"/>
                <w:highlight w:val="none"/>
              </w:rPr>
            </w:pPr>
            <w:r>
              <w:rPr>
                <w:rFonts w:hint="eastAsia" w:ascii="仿宋" w:hAnsi="仿宋" w:eastAsia="仿宋" w:cs="仿宋"/>
                <w:sz w:val="24"/>
                <w:highlight w:val="none"/>
              </w:rPr>
              <w:t>序号</w:t>
            </w:r>
          </w:p>
        </w:tc>
        <w:tc>
          <w:tcPr>
            <w:tcW w:w="1087" w:type="dxa"/>
            <w:vAlign w:val="center"/>
          </w:tcPr>
          <w:p w14:paraId="155ED0AB">
            <w:pPr>
              <w:jc w:val="center"/>
              <w:rPr>
                <w:rFonts w:hint="eastAsia" w:ascii="仿宋" w:hAnsi="仿宋" w:eastAsia="仿宋" w:cs="仿宋"/>
                <w:sz w:val="24"/>
                <w:highlight w:val="none"/>
              </w:rPr>
            </w:pPr>
            <w:r>
              <w:rPr>
                <w:rFonts w:hint="eastAsia" w:ascii="仿宋" w:hAnsi="仿宋" w:eastAsia="仿宋" w:cs="仿宋"/>
                <w:sz w:val="24"/>
                <w:highlight w:val="none"/>
              </w:rPr>
              <w:t>货物名称</w:t>
            </w:r>
          </w:p>
        </w:tc>
        <w:tc>
          <w:tcPr>
            <w:tcW w:w="1325" w:type="dxa"/>
            <w:vAlign w:val="center"/>
          </w:tcPr>
          <w:p w14:paraId="0EE186D6">
            <w:pPr>
              <w:jc w:val="center"/>
              <w:rPr>
                <w:rFonts w:hint="eastAsia" w:ascii="仿宋" w:hAnsi="仿宋" w:eastAsia="仿宋" w:cs="仿宋"/>
                <w:sz w:val="24"/>
                <w:highlight w:val="none"/>
              </w:rPr>
            </w:pPr>
            <w:r>
              <w:rPr>
                <w:rFonts w:hint="eastAsia" w:ascii="仿宋" w:hAnsi="仿宋" w:eastAsia="仿宋" w:cs="仿宋"/>
                <w:sz w:val="24"/>
                <w:highlight w:val="none"/>
              </w:rPr>
              <w:t>制造商、品牌</w:t>
            </w:r>
          </w:p>
        </w:tc>
        <w:tc>
          <w:tcPr>
            <w:tcW w:w="1187" w:type="dxa"/>
            <w:vAlign w:val="center"/>
          </w:tcPr>
          <w:p w14:paraId="2E98F623">
            <w:pPr>
              <w:jc w:val="center"/>
              <w:rPr>
                <w:rFonts w:hint="eastAsia" w:ascii="仿宋" w:hAnsi="仿宋" w:eastAsia="仿宋" w:cs="仿宋"/>
                <w:sz w:val="24"/>
                <w:highlight w:val="none"/>
              </w:rPr>
            </w:pPr>
            <w:r>
              <w:rPr>
                <w:rFonts w:hint="eastAsia" w:ascii="仿宋" w:hAnsi="仿宋" w:eastAsia="仿宋" w:cs="仿宋"/>
                <w:sz w:val="24"/>
                <w:highlight w:val="none"/>
              </w:rPr>
              <w:t>规格、型号</w:t>
            </w:r>
          </w:p>
        </w:tc>
        <w:tc>
          <w:tcPr>
            <w:tcW w:w="1024" w:type="dxa"/>
            <w:vAlign w:val="center"/>
          </w:tcPr>
          <w:p w14:paraId="564DB536">
            <w:pPr>
              <w:jc w:val="center"/>
              <w:rPr>
                <w:rFonts w:hint="eastAsia" w:ascii="仿宋" w:hAnsi="仿宋" w:eastAsia="仿宋" w:cs="仿宋"/>
                <w:sz w:val="24"/>
                <w:highlight w:val="none"/>
              </w:rPr>
            </w:pPr>
            <w:r>
              <w:rPr>
                <w:rFonts w:hint="eastAsia" w:ascii="仿宋" w:hAnsi="仿宋" w:eastAsia="仿宋" w:cs="仿宋"/>
                <w:sz w:val="24"/>
                <w:highlight w:val="none"/>
              </w:rPr>
              <w:t>产地</w:t>
            </w:r>
          </w:p>
        </w:tc>
        <w:tc>
          <w:tcPr>
            <w:tcW w:w="1062" w:type="dxa"/>
            <w:vAlign w:val="center"/>
          </w:tcPr>
          <w:p w14:paraId="272D3451">
            <w:pPr>
              <w:jc w:val="center"/>
              <w:rPr>
                <w:rFonts w:hint="eastAsia" w:ascii="仿宋" w:hAnsi="仿宋" w:eastAsia="仿宋" w:cs="仿宋"/>
                <w:sz w:val="24"/>
                <w:highlight w:val="none"/>
              </w:rPr>
            </w:pPr>
            <w:r>
              <w:rPr>
                <w:rFonts w:hint="eastAsia" w:ascii="仿宋" w:hAnsi="仿宋" w:eastAsia="仿宋" w:cs="仿宋"/>
                <w:sz w:val="24"/>
                <w:highlight w:val="none"/>
              </w:rPr>
              <w:t>数量、单位</w:t>
            </w:r>
          </w:p>
        </w:tc>
        <w:tc>
          <w:tcPr>
            <w:tcW w:w="1150" w:type="dxa"/>
            <w:gridSpan w:val="2"/>
            <w:vAlign w:val="center"/>
          </w:tcPr>
          <w:p w14:paraId="5504164A">
            <w:pPr>
              <w:jc w:val="center"/>
              <w:rPr>
                <w:rFonts w:hint="eastAsia" w:ascii="仿宋" w:hAnsi="仿宋" w:eastAsia="仿宋" w:cs="仿宋"/>
                <w:sz w:val="24"/>
                <w:highlight w:val="none"/>
              </w:rPr>
            </w:pPr>
            <w:r>
              <w:rPr>
                <w:rFonts w:hint="eastAsia" w:ascii="仿宋" w:hAnsi="仿宋" w:eastAsia="仿宋" w:cs="仿宋"/>
                <w:sz w:val="24"/>
                <w:highlight w:val="none"/>
              </w:rPr>
              <w:t>单 价</w:t>
            </w:r>
          </w:p>
          <w:p w14:paraId="5B587197">
            <w:pPr>
              <w:jc w:val="center"/>
              <w:rPr>
                <w:rFonts w:hint="eastAsia" w:ascii="仿宋" w:hAnsi="仿宋" w:eastAsia="仿宋" w:cs="仿宋"/>
                <w:sz w:val="24"/>
                <w:highlight w:val="none"/>
              </w:rPr>
            </w:pPr>
            <w:r>
              <w:rPr>
                <w:rFonts w:hint="eastAsia" w:ascii="仿宋" w:hAnsi="仿宋" w:eastAsia="仿宋" w:cs="仿宋"/>
                <w:sz w:val="24"/>
                <w:highlight w:val="none"/>
              </w:rPr>
              <w:t>（元）</w:t>
            </w:r>
          </w:p>
        </w:tc>
        <w:tc>
          <w:tcPr>
            <w:tcW w:w="1124" w:type="dxa"/>
            <w:vAlign w:val="center"/>
          </w:tcPr>
          <w:p w14:paraId="58CB4844">
            <w:pPr>
              <w:jc w:val="center"/>
              <w:rPr>
                <w:rFonts w:hint="eastAsia" w:ascii="仿宋" w:hAnsi="仿宋" w:eastAsia="仿宋" w:cs="仿宋"/>
                <w:sz w:val="24"/>
                <w:highlight w:val="none"/>
              </w:rPr>
            </w:pPr>
            <w:r>
              <w:rPr>
                <w:rFonts w:hint="eastAsia" w:ascii="仿宋" w:hAnsi="仿宋" w:eastAsia="仿宋" w:cs="仿宋"/>
                <w:sz w:val="24"/>
                <w:highlight w:val="none"/>
              </w:rPr>
              <w:t>总价（元）</w:t>
            </w:r>
          </w:p>
        </w:tc>
        <w:tc>
          <w:tcPr>
            <w:tcW w:w="1175" w:type="dxa"/>
            <w:vAlign w:val="center"/>
          </w:tcPr>
          <w:p w14:paraId="27D53D9D">
            <w:pPr>
              <w:jc w:val="center"/>
              <w:rPr>
                <w:rFonts w:hint="eastAsia" w:ascii="仿宋" w:hAnsi="仿宋" w:eastAsia="仿宋" w:cs="仿宋"/>
                <w:sz w:val="24"/>
                <w:highlight w:val="none"/>
              </w:rPr>
            </w:pPr>
            <w:r>
              <w:rPr>
                <w:rFonts w:hint="eastAsia" w:ascii="仿宋" w:hAnsi="仿宋" w:eastAsia="仿宋" w:cs="仿宋"/>
                <w:sz w:val="24"/>
                <w:highlight w:val="none"/>
              </w:rPr>
              <w:t>是否属于小、微企业或监狱企业产品</w:t>
            </w:r>
          </w:p>
        </w:tc>
        <w:tc>
          <w:tcPr>
            <w:tcW w:w="1175" w:type="dxa"/>
            <w:vAlign w:val="center"/>
          </w:tcPr>
          <w:p w14:paraId="4A572B75">
            <w:pPr>
              <w:jc w:val="center"/>
              <w:rPr>
                <w:rFonts w:hint="eastAsia" w:ascii="仿宋" w:hAnsi="仿宋" w:eastAsia="仿宋" w:cs="仿宋"/>
                <w:sz w:val="24"/>
                <w:highlight w:val="none"/>
              </w:rPr>
            </w:pPr>
            <w:r>
              <w:rPr>
                <w:rFonts w:hint="eastAsia" w:ascii="仿宋" w:hAnsi="仿宋" w:eastAsia="仿宋" w:cs="仿宋"/>
                <w:sz w:val="24"/>
                <w:highlight w:val="none"/>
              </w:rPr>
              <w:t>是否属于节能、环保产品</w:t>
            </w:r>
          </w:p>
        </w:tc>
        <w:tc>
          <w:tcPr>
            <w:tcW w:w="1121" w:type="dxa"/>
            <w:vAlign w:val="center"/>
          </w:tcPr>
          <w:p w14:paraId="0E6CFC7F">
            <w:pPr>
              <w:jc w:val="center"/>
              <w:rPr>
                <w:rFonts w:hint="eastAsia" w:ascii="仿宋" w:hAnsi="仿宋" w:eastAsia="仿宋" w:cs="仿宋"/>
                <w:sz w:val="24"/>
                <w:highlight w:val="none"/>
              </w:rPr>
            </w:pPr>
            <w:r>
              <w:rPr>
                <w:rFonts w:hint="eastAsia" w:ascii="仿宋" w:hAnsi="仿宋" w:eastAsia="仿宋" w:cs="仿宋"/>
                <w:sz w:val="24"/>
                <w:highlight w:val="none"/>
              </w:rPr>
              <w:t>是否属于本国产品</w:t>
            </w:r>
          </w:p>
        </w:tc>
        <w:tc>
          <w:tcPr>
            <w:tcW w:w="1121" w:type="dxa"/>
            <w:vAlign w:val="center"/>
          </w:tcPr>
          <w:p w14:paraId="59C6613B">
            <w:pPr>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14:paraId="5AF8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8" w:type="dxa"/>
          </w:tcPr>
          <w:p w14:paraId="0DDEE8D6">
            <w:pPr>
              <w:rPr>
                <w:rFonts w:hint="eastAsia" w:ascii="仿宋" w:hAnsi="仿宋" w:eastAsia="仿宋" w:cs="仿宋"/>
                <w:highlight w:val="none"/>
              </w:rPr>
            </w:pPr>
          </w:p>
        </w:tc>
        <w:tc>
          <w:tcPr>
            <w:tcW w:w="1087" w:type="dxa"/>
          </w:tcPr>
          <w:p w14:paraId="2836D958">
            <w:pPr>
              <w:rPr>
                <w:rFonts w:hint="eastAsia" w:ascii="仿宋" w:hAnsi="仿宋" w:eastAsia="仿宋" w:cs="仿宋"/>
                <w:highlight w:val="none"/>
              </w:rPr>
            </w:pPr>
          </w:p>
        </w:tc>
        <w:tc>
          <w:tcPr>
            <w:tcW w:w="1325" w:type="dxa"/>
          </w:tcPr>
          <w:p w14:paraId="14C92548">
            <w:pPr>
              <w:rPr>
                <w:rFonts w:hint="eastAsia" w:ascii="仿宋" w:hAnsi="仿宋" w:eastAsia="仿宋" w:cs="仿宋"/>
                <w:highlight w:val="none"/>
              </w:rPr>
            </w:pPr>
          </w:p>
        </w:tc>
        <w:tc>
          <w:tcPr>
            <w:tcW w:w="1187" w:type="dxa"/>
          </w:tcPr>
          <w:p w14:paraId="4A28BD80">
            <w:pPr>
              <w:rPr>
                <w:rFonts w:hint="eastAsia" w:ascii="仿宋" w:hAnsi="仿宋" w:eastAsia="仿宋" w:cs="仿宋"/>
                <w:highlight w:val="none"/>
              </w:rPr>
            </w:pPr>
          </w:p>
        </w:tc>
        <w:tc>
          <w:tcPr>
            <w:tcW w:w="1024" w:type="dxa"/>
          </w:tcPr>
          <w:p w14:paraId="52E8E0EE">
            <w:pPr>
              <w:rPr>
                <w:rFonts w:hint="eastAsia" w:ascii="仿宋" w:hAnsi="仿宋" w:eastAsia="仿宋" w:cs="仿宋"/>
                <w:highlight w:val="none"/>
              </w:rPr>
            </w:pPr>
          </w:p>
        </w:tc>
        <w:tc>
          <w:tcPr>
            <w:tcW w:w="1062" w:type="dxa"/>
          </w:tcPr>
          <w:p w14:paraId="235CFF4F">
            <w:pPr>
              <w:rPr>
                <w:rFonts w:hint="eastAsia" w:ascii="仿宋" w:hAnsi="仿宋" w:eastAsia="仿宋" w:cs="仿宋"/>
                <w:highlight w:val="none"/>
              </w:rPr>
            </w:pPr>
          </w:p>
        </w:tc>
        <w:tc>
          <w:tcPr>
            <w:tcW w:w="1150" w:type="dxa"/>
            <w:gridSpan w:val="2"/>
          </w:tcPr>
          <w:p w14:paraId="5837A233">
            <w:pPr>
              <w:rPr>
                <w:rFonts w:hint="eastAsia" w:ascii="仿宋" w:hAnsi="仿宋" w:eastAsia="仿宋" w:cs="仿宋"/>
                <w:highlight w:val="none"/>
              </w:rPr>
            </w:pPr>
          </w:p>
        </w:tc>
        <w:tc>
          <w:tcPr>
            <w:tcW w:w="1124" w:type="dxa"/>
          </w:tcPr>
          <w:p w14:paraId="521BC4F7">
            <w:pPr>
              <w:rPr>
                <w:rFonts w:hint="eastAsia" w:ascii="仿宋" w:hAnsi="仿宋" w:eastAsia="仿宋" w:cs="仿宋"/>
                <w:highlight w:val="none"/>
              </w:rPr>
            </w:pPr>
          </w:p>
        </w:tc>
        <w:tc>
          <w:tcPr>
            <w:tcW w:w="1175" w:type="dxa"/>
          </w:tcPr>
          <w:p w14:paraId="7A56A576">
            <w:pPr>
              <w:jc w:val="center"/>
              <w:rPr>
                <w:rFonts w:hint="eastAsia" w:ascii="仿宋" w:hAnsi="仿宋" w:eastAsia="仿宋" w:cs="仿宋"/>
                <w:b/>
                <w:bCs/>
                <w:sz w:val="24"/>
                <w:highlight w:val="none"/>
              </w:rPr>
            </w:pPr>
            <w:r>
              <w:rPr>
                <w:rFonts w:hint="eastAsia" w:ascii="仿宋" w:hAnsi="仿宋" w:eastAsia="仿宋" w:cs="仿宋"/>
                <w:b/>
                <w:bCs/>
                <w:sz w:val="24"/>
                <w:highlight w:val="none"/>
              </w:rPr>
              <w:t>填表须知：详见注1</w:t>
            </w:r>
          </w:p>
        </w:tc>
        <w:tc>
          <w:tcPr>
            <w:tcW w:w="1175" w:type="dxa"/>
          </w:tcPr>
          <w:p w14:paraId="3B8911AD">
            <w:pPr>
              <w:jc w:val="center"/>
              <w:rPr>
                <w:rFonts w:hint="eastAsia" w:ascii="仿宋" w:hAnsi="仿宋" w:eastAsia="仿宋" w:cs="仿宋"/>
                <w:b/>
                <w:bCs/>
                <w:sz w:val="24"/>
                <w:highlight w:val="none"/>
              </w:rPr>
            </w:pPr>
            <w:r>
              <w:rPr>
                <w:rFonts w:hint="eastAsia" w:ascii="仿宋" w:hAnsi="仿宋" w:eastAsia="仿宋" w:cs="仿宋"/>
                <w:b/>
                <w:bCs/>
                <w:sz w:val="24"/>
                <w:highlight w:val="none"/>
              </w:rPr>
              <w:t>填表须知：详见注2</w:t>
            </w:r>
          </w:p>
        </w:tc>
        <w:tc>
          <w:tcPr>
            <w:tcW w:w="1121" w:type="dxa"/>
          </w:tcPr>
          <w:p w14:paraId="610111F5">
            <w:pPr>
              <w:rPr>
                <w:rFonts w:hint="eastAsia" w:ascii="仿宋" w:hAnsi="仿宋" w:eastAsia="仿宋" w:cs="仿宋"/>
                <w:highlight w:val="none"/>
              </w:rPr>
            </w:pPr>
            <w:r>
              <w:rPr>
                <w:rFonts w:hint="eastAsia" w:ascii="仿宋" w:hAnsi="仿宋" w:eastAsia="仿宋" w:cs="仿宋"/>
                <w:b/>
                <w:bCs/>
                <w:sz w:val="24"/>
                <w:highlight w:val="none"/>
              </w:rPr>
              <w:t>填表须知：详见注4</w:t>
            </w:r>
          </w:p>
        </w:tc>
        <w:tc>
          <w:tcPr>
            <w:tcW w:w="1121" w:type="dxa"/>
          </w:tcPr>
          <w:p w14:paraId="329D1C1F">
            <w:pPr>
              <w:rPr>
                <w:rFonts w:hint="eastAsia" w:ascii="仿宋" w:hAnsi="仿宋" w:eastAsia="仿宋" w:cs="仿宋"/>
                <w:highlight w:val="none"/>
              </w:rPr>
            </w:pPr>
          </w:p>
        </w:tc>
      </w:tr>
      <w:tr w14:paraId="26C4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898" w:type="dxa"/>
          </w:tcPr>
          <w:p w14:paraId="6A4124A5">
            <w:pPr>
              <w:rPr>
                <w:rFonts w:hint="eastAsia" w:ascii="仿宋" w:hAnsi="仿宋" w:eastAsia="仿宋" w:cs="仿宋"/>
                <w:highlight w:val="none"/>
              </w:rPr>
            </w:pPr>
          </w:p>
        </w:tc>
        <w:tc>
          <w:tcPr>
            <w:tcW w:w="1087" w:type="dxa"/>
          </w:tcPr>
          <w:p w14:paraId="2A476DB1">
            <w:pPr>
              <w:rPr>
                <w:rFonts w:hint="eastAsia" w:ascii="仿宋" w:hAnsi="仿宋" w:eastAsia="仿宋" w:cs="仿宋"/>
                <w:highlight w:val="none"/>
              </w:rPr>
            </w:pPr>
          </w:p>
        </w:tc>
        <w:tc>
          <w:tcPr>
            <w:tcW w:w="1325" w:type="dxa"/>
          </w:tcPr>
          <w:p w14:paraId="095F766F">
            <w:pPr>
              <w:rPr>
                <w:rFonts w:hint="eastAsia" w:ascii="仿宋" w:hAnsi="仿宋" w:eastAsia="仿宋" w:cs="仿宋"/>
                <w:highlight w:val="none"/>
              </w:rPr>
            </w:pPr>
          </w:p>
        </w:tc>
        <w:tc>
          <w:tcPr>
            <w:tcW w:w="1187" w:type="dxa"/>
          </w:tcPr>
          <w:p w14:paraId="46A00F1C">
            <w:pPr>
              <w:rPr>
                <w:rFonts w:hint="eastAsia" w:ascii="仿宋" w:hAnsi="仿宋" w:eastAsia="仿宋" w:cs="仿宋"/>
                <w:highlight w:val="none"/>
              </w:rPr>
            </w:pPr>
          </w:p>
        </w:tc>
        <w:tc>
          <w:tcPr>
            <w:tcW w:w="1024" w:type="dxa"/>
          </w:tcPr>
          <w:p w14:paraId="231EB6E4">
            <w:pPr>
              <w:rPr>
                <w:rFonts w:hint="eastAsia" w:ascii="仿宋" w:hAnsi="仿宋" w:eastAsia="仿宋" w:cs="仿宋"/>
                <w:highlight w:val="none"/>
              </w:rPr>
            </w:pPr>
          </w:p>
        </w:tc>
        <w:tc>
          <w:tcPr>
            <w:tcW w:w="1062" w:type="dxa"/>
          </w:tcPr>
          <w:p w14:paraId="50CFC622">
            <w:pPr>
              <w:rPr>
                <w:rFonts w:hint="eastAsia" w:ascii="仿宋" w:hAnsi="仿宋" w:eastAsia="仿宋" w:cs="仿宋"/>
                <w:highlight w:val="none"/>
              </w:rPr>
            </w:pPr>
          </w:p>
        </w:tc>
        <w:tc>
          <w:tcPr>
            <w:tcW w:w="1150" w:type="dxa"/>
            <w:gridSpan w:val="2"/>
          </w:tcPr>
          <w:p w14:paraId="17661A6A">
            <w:pPr>
              <w:rPr>
                <w:rFonts w:hint="eastAsia" w:ascii="仿宋" w:hAnsi="仿宋" w:eastAsia="仿宋" w:cs="仿宋"/>
                <w:highlight w:val="none"/>
              </w:rPr>
            </w:pPr>
          </w:p>
        </w:tc>
        <w:tc>
          <w:tcPr>
            <w:tcW w:w="1124" w:type="dxa"/>
          </w:tcPr>
          <w:p w14:paraId="2B990485">
            <w:pPr>
              <w:rPr>
                <w:rFonts w:hint="eastAsia" w:ascii="仿宋" w:hAnsi="仿宋" w:eastAsia="仿宋" w:cs="仿宋"/>
                <w:highlight w:val="none"/>
              </w:rPr>
            </w:pPr>
          </w:p>
        </w:tc>
        <w:tc>
          <w:tcPr>
            <w:tcW w:w="1175" w:type="dxa"/>
          </w:tcPr>
          <w:p w14:paraId="7384427D">
            <w:pPr>
              <w:rPr>
                <w:rFonts w:hint="eastAsia" w:ascii="仿宋" w:hAnsi="仿宋" w:eastAsia="仿宋" w:cs="仿宋"/>
                <w:highlight w:val="none"/>
              </w:rPr>
            </w:pPr>
          </w:p>
        </w:tc>
        <w:tc>
          <w:tcPr>
            <w:tcW w:w="1175" w:type="dxa"/>
          </w:tcPr>
          <w:p w14:paraId="6745F628">
            <w:pPr>
              <w:rPr>
                <w:rFonts w:hint="eastAsia" w:ascii="仿宋" w:hAnsi="仿宋" w:eastAsia="仿宋" w:cs="仿宋"/>
                <w:highlight w:val="none"/>
              </w:rPr>
            </w:pPr>
          </w:p>
        </w:tc>
        <w:tc>
          <w:tcPr>
            <w:tcW w:w="1121" w:type="dxa"/>
          </w:tcPr>
          <w:p w14:paraId="266FB32F">
            <w:pPr>
              <w:rPr>
                <w:rFonts w:hint="eastAsia" w:ascii="仿宋" w:hAnsi="仿宋" w:eastAsia="仿宋" w:cs="仿宋"/>
                <w:highlight w:val="none"/>
              </w:rPr>
            </w:pPr>
          </w:p>
        </w:tc>
        <w:tc>
          <w:tcPr>
            <w:tcW w:w="1121" w:type="dxa"/>
          </w:tcPr>
          <w:p w14:paraId="296616FE">
            <w:pPr>
              <w:rPr>
                <w:rFonts w:hint="eastAsia" w:ascii="仿宋" w:hAnsi="仿宋" w:eastAsia="仿宋" w:cs="仿宋"/>
                <w:highlight w:val="none"/>
              </w:rPr>
            </w:pPr>
          </w:p>
        </w:tc>
      </w:tr>
      <w:tr w14:paraId="77E9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98" w:type="dxa"/>
          </w:tcPr>
          <w:p w14:paraId="6D70F950">
            <w:pPr>
              <w:rPr>
                <w:rFonts w:hint="eastAsia" w:ascii="仿宋" w:hAnsi="仿宋" w:eastAsia="仿宋" w:cs="仿宋"/>
                <w:highlight w:val="none"/>
              </w:rPr>
            </w:pPr>
          </w:p>
        </w:tc>
        <w:tc>
          <w:tcPr>
            <w:tcW w:w="1087" w:type="dxa"/>
          </w:tcPr>
          <w:p w14:paraId="44D0C95D">
            <w:pPr>
              <w:rPr>
                <w:rFonts w:hint="eastAsia" w:ascii="仿宋" w:hAnsi="仿宋" w:eastAsia="仿宋" w:cs="仿宋"/>
                <w:highlight w:val="none"/>
              </w:rPr>
            </w:pPr>
          </w:p>
        </w:tc>
        <w:tc>
          <w:tcPr>
            <w:tcW w:w="1325" w:type="dxa"/>
          </w:tcPr>
          <w:p w14:paraId="2393F800">
            <w:pPr>
              <w:rPr>
                <w:rFonts w:hint="eastAsia" w:ascii="仿宋" w:hAnsi="仿宋" w:eastAsia="仿宋" w:cs="仿宋"/>
                <w:highlight w:val="none"/>
              </w:rPr>
            </w:pPr>
          </w:p>
        </w:tc>
        <w:tc>
          <w:tcPr>
            <w:tcW w:w="1187" w:type="dxa"/>
          </w:tcPr>
          <w:p w14:paraId="4653DA3B">
            <w:pPr>
              <w:rPr>
                <w:rFonts w:hint="eastAsia" w:ascii="仿宋" w:hAnsi="仿宋" w:eastAsia="仿宋" w:cs="仿宋"/>
                <w:highlight w:val="none"/>
              </w:rPr>
            </w:pPr>
          </w:p>
        </w:tc>
        <w:tc>
          <w:tcPr>
            <w:tcW w:w="1024" w:type="dxa"/>
          </w:tcPr>
          <w:p w14:paraId="3202812A">
            <w:pPr>
              <w:rPr>
                <w:rFonts w:hint="eastAsia" w:ascii="仿宋" w:hAnsi="仿宋" w:eastAsia="仿宋" w:cs="仿宋"/>
                <w:highlight w:val="none"/>
              </w:rPr>
            </w:pPr>
          </w:p>
        </w:tc>
        <w:tc>
          <w:tcPr>
            <w:tcW w:w="1062" w:type="dxa"/>
          </w:tcPr>
          <w:p w14:paraId="3AD4C5F4">
            <w:pPr>
              <w:rPr>
                <w:rFonts w:hint="eastAsia" w:ascii="仿宋" w:hAnsi="仿宋" w:eastAsia="仿宋" w:cs="仿宋"/>
                <w:highlight w:val="none"/>
              </w:rPr>
            </w:pPr>
          </w:p>
        </w:tc>
        <w:tc>
          <w:tcPr>
            <w:tcW w:w="1150" w:type="dxa"/>
            <w:gridSpan w:val="2"/>
          </w:tcPr>
          <w:p w14:paraId="355AE59A">
            <w:pPr>
              <w:rPr>
                <w:rFonts w:hint="eastAsia" w:ascii="仿宋" w:hAnsi="仿宋" w:eastAsia="仿宋" w:cs="仿宋"/>
                <w:highlight w:val="none"/>
              </w:rPr>
            </w:pPr>
          </w:p>
        </w:tc>
        <w:tc>
          <w:tcPr>
            <w:tcW w:w="1124" w:type="dxa"/>
          </w:tcPr>
          <w:p w14:paraId="6C8C8DA4">
            <w:pPr>
              <w:rPr>
                <w:rFonts w:hint="eastAsia" w:ascii="仿宋" w:hAnsi="仿宋" w:eastAsia="仿宋" w:cs="仿宋"/>
                <w:highlight w:val="none"/>
              </w:rPr>
            </w:pPr>
          </w:p>
        </w:tc>
        <w:tc>
          <w:tcPr>
            <w:tcW w:w="1175" w:type="dxa"/>
          </w:tcPr>
          <w:p w14:paraId="7EEF5529">
            <w:pPr>
              <w:rPr>
                <w:rFonts w:hint="eastAsia" w:ascii="仿宋" w:hAnsi="仿宋" w:eastAsia="仿宋" w:cs="仿宋"/>
                <w:highlight w:val="none"/>
              </w:rPr>
            </w:pPr>
          </w:p>
        </w:tc>
        <w:tc>
          <w:tcPr>
            <w:tcW w:w="1175" w:type="dxa"/>
          </w:tcPr>
          <w:p w14:paraId="0C3BB54B">
            <w:pPr>
              <w:rPr>
                <w:rFonts w:hint="eastAsia" w:ascii="仿宋" w:hAnsi="仿宋" w:eastAsia="仿宋" w:cs="仿宋"/>
                <w:highlight w:val="none"/>
              </w:rPr>
            </w:pPr>
          </w:p>
        </w:tc>
        <w:tc>
          <w:tcPr>
            <w:tcW w:w="1121" w:type="dxa"/>
          </w:tcPr>
          <w:p w14:paraId="20DEB57D">
            <w:pPr>
              <w:rPr>
                <w:rFonts w:hint="eastAsia" w:ascii="仿宋" w:hAnsi="仿宋" w:eastAsia="仿宋" w:cs="仿宋"/>
                <w:highlight w:val="none"/>
              </w:rPr>
            </w:pPr>
          </w:p>
        </w:tc>
        <w:tc>
          <w:tcPr>
            <w:tcW w:w="1121" w:type="dxa"/>
          </w:tcPr>
          <w:p w14:paraId="1128E4D7">
            <w:pPr>
              <w:rPr>
                <w:rFonts w:hint="eastAsia" w:ascii="仿宋" w:hAnsi="仿宋" w:eastAsia="仿宋" w:cs="仿宋"/>
                <w:highlight w:val="none"/>
              </w:rPr>
            </w:pPr>
          </w:p>
        </w:tc>
      </w:tr>
      <w:tr w14:paraId="3BCD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704" w:type="dxa"/>
            <w:gridSpan w:val="7"/>
          </w:tcPr>
          <w:p w14:paraId="67179F77">
            <w:pPr>
              <w:jc w:val="left"/>
              <w:rPr>
                <w:rFonts w:hint="eastAsia" w:ascii="仿宋" w:hAnsi="仿宋" w:eastAsia="仿宋" w:cs="仿宋"/>
                <w:color w:val="000000"/>
                <w:sz w:val="24"/>
                <w:highlight w:val="none"/>
              </w:rPr>
            </w:pPr>
            <w:r>
              <w:rPr>
                <w:rFonts w:hint="eastAsia" w:ascii="仿宋" w:hAnsi="仿宋" w:eastAsia="仿宋" w:cs="仿宋"/>
                <w:sz w:val="24"/>
                <w:highlight w:val="none"/>
              </w:rPr>
              <w:t>合     计：（大写）</w:t>
            </w:r>
          </w:p>
        </w:tc>
        <w:tc>
          <w:tcPr>
            <w:tcW w:w="5745" w:type="dxa"/>
            <w:gridSpan w:val="6"/>
          </w:tcPr>
          <w:p w14:paraId="6802568F">
            <w:pPr>
              <w:jc w:val="left"/>
              <w:rPr>
                <w:rFonts w:hint="eastAsia" w:ascii="仿宋" w:hAnsi="仿宋" w:eastAsia="仿宋" w:cs="仿宋"/>
                <w:highlight w:val="none"/>
              </w:rPr>
            </w:pPr>
            <w:r>
              <w:rPr>
                <w:rFonts w:hint="eastAsia" w:ascii="仿宋" w:hAnsi="仿宋" w:eastAsia="仿宋" w:cs="仿宋"/>
                <w:color w:val="000000"/>
                <w:sz w:val="24"/>
                <w:highlight w:val="none"/>
              </w:rPr>
              <w:t>¥：（小写）</w:t>
            </w:r>
          </w:p>
        </w:tc>
      </w:tr>
    </w:tbl>
    <w:p w14:paraId="6A990AC3">
      <w:pPr>
        <w:rPr>
          <w:rFonts w:hint="eastAsia" w:ascii="仿宋" w:hAnsi="仿宋" w:eastAsia="仿宋" w:cs="仿宋"/>
          <w:b/>
          <w:bCs/>
          <w:sz w:val="24"/>
          <w:highlight w:val="none"/>
        </w:rPr>
      </w:pPr>
      <w:r>
        <w:rPr>
          <w:rFonts w:hint="eastAsia" w:ascii="仿宋" w:hAnsi="仿宋" w:eastAsia="仿宋" w:cs="仿宋"/>
          <w:b/>
          <w:bCs/>
          <w:sz w:val="24"/>
          <w:highlight w:val="none"/>
        </w:rPr>
        <w:t>注： 1. 小、微企业产品需在备注中注明，否则产生的一切后果由供应商承担。</w:t>
      </w:r>
    </w:p>
    <w:p w14:paraId="6B52027D">
      <w:pPr>
        <w:rPr>
          <w:rFonts w:hint="eastAsia" w:ascii="仿宋" w:hAnsi="仿宋" w:eastAsia="仿宋" w:cs="仿宋"/>
          <w:b/>
          <w:bCs/>
          <w:sz w:val="24"/>
          <w:highlight w:val="none"/>
        </w:rPr>
      </w:pPr>
      <w:r>
        <w:rPr>
          <w:rFonts w:hint="eastAsia" w:ascii="仿宋" w:hAnsi="仿宋" w:eastAsia="仿宋" w:cs="仿宋"/>
          <w:b/>
          <w:bCs/>
          <w:sz w:val="24"/>
          <w:highlight w:val="none"/>
        </w:rPr>
        <w:t>节能、环保产品需备注注明。</w:t>
      </w:r>
    </w:p>
    <w:p w14:paraId="58B17C47">
      <w:pPr>
        <w:rPr>
          <w:rFonts w:hint="eastAsia" w:ascii="仿宋" w:hAnsi="仿宋" w:eastAsia="仿宋" w:cs="仿宋"/>
          <w:b/>
          <w:bCs/>
          <w:sz w:val="24"/>
          <w:highlight w:val="none"/>
        </w:rPr>
      </w:pPr>
      <w:r>
        <w:rPr>
          <w:rFonts w:hint="eastAsia" w:ascii="仿宋" w:hAnsi="仿宋" w:eastAsia="仿宋" w:cs="仿宋"/>
          <w:b/>
          <w:bCs/>
          <w:sz w:val="24"/>
          <w:highlight w:val="none"/>
        </w:rPr>
        <w:t xml:space="preserve">2. 节能、环保产品需备注注明。  </w:t>
      </w:r>
    </w:p>
    <w:p w14:paraId="53FEB8E1">
      <w:pPr>
        <w:rPr>
          <w:rFonts w:hint="eastAsia" w:ascii="仿宋" w:hAnsi="仿宋" w:eastAsia="仿宋" w:cs="仿宋"/>
          <w:b/>
          <w:bCs/>
          <w:sz w:val="24"/>
          <w:highlight w:val="none"/>
        </w:rPr>
      </w:pPr>
      <w:r>
        <w:rPr>
          <w:rFonts w:hint="eastAsia" w:ascii="仿宋" w:hAnsi="仿宋" w:eastAsia="仿宋" w:cs="仿宋"/>
          <w:b/>
          <w:bCs/>
          <w:sz w:val="24"/>
          <w:highlight w:val="none"/>
        </w:rPr>
        <w:t>3. 询价通知书如另有单独分项报价要求的按要求填写。</w:t>
      </w:r>
    </w:p>
    <w:p w14:paraId="299FBD22">
      <w:pPr>
        <w:rPr>
          <w:rFonts w:hint="eastAsia" w:ascii="仿宋" w:hAnsi="仿宋" w:eastAsia="仿宋" w:cs="仿宋"/>
          <w:highlight w:val="none"/>
        </w:rPr>
      </w:pPr>
      <w:r>
        <w:rPr>
          <w:rFonts w:hint="eastAsia" w:ascii="仿宋" w:hAnsi="仿宋" w:eastAsia="仿宋" w:cs="仿宋"/>
          <w:b/>
          <w:bCs/>
          <w:sz w:val="24"/>
          <w:highlight w:val="none"/>
        </w:rPr>
        <w:t>4.本国产品要求详见本询价通知书第二章供应商须知前附表。属于本国产品的备注说明，同时提供《关于符合本国产品标准的声明函》或财政部会同有关部门规定的有关证明文件，未提供的一切不利后果由响应人承担。（不属于本国产品不需提供）★未提供《关于符合本国产品标准的声明函》或财政部会同有关部门规定的有关证明文件（如有），一律视为非本国产品！！！</w:t>
      </w:r>
    </w:p>
    <w:p w14:paraId="32790563">
      <w:pPr>
        <w:rPr>
          <w:rFonts w:hint="eastAsia" w:ascii="仿宋" w:hAnsi="仿宋" w:eastAsia="仿宋" w:cs="仿宋"/>
          <w:sz w:val="24"/>
          <w:highlight w:val="none"/>
        </w:rPr>
      </w:pPr>
    </w:p>
    <w:p w14:paraId="5D90FADE">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供应商盖章（或自然人手印）：</w:t>
      </w:r>
      <w:r>
        <w:rPr>
          <w:rFonts w:hint="eastAsia" w:ascii="仿宋" w:hAnsi="仿宋" w:eastAsia="仿宋" w:cs="仿宋"/>
          <w:sz w:val="24"/>
          <w:highlight w:val="none"/>
          <w:u w:val="single"/>
        </w:rPr>
        <w:t xml:space="preserve">                      </w:t>
      </w:r>
    </w:p>
    <w:p w14:paraId="1267EB50">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法定代表人（或经营者或自然人）或供应商代表签字或章：</w:t>
      </w:r>
      <w:r>
        <w:rPr>
          <w:rFonts w:hint="eastAsia" w:ascii="仿宋" w:hAnsi="仿宋" w:eastAsia="仿宋" w:cs="仿宋"/>
          <w:sz w:val="24"/>
          <w:highlight w:val="none"/>
          <w:u w:val="single"/>
        </w:rPr>
        <w:t xml:space="preserve">                      </w:t>
      </w:r>
    </w:p>
    <w:p w14:paraId="005F30F4">
      <w:pPr>
        <w:rPr>
          <w:rFonts w:hint="eastAsia" w:ascii="仿宋" w:hAnsi="仿宋" w:eastAsia="仿宋" w:cs="仿宋"/>
          <w:sz w:val="24"/>
          <w:highlight w:val="none"/>
          <w:u w:val="single"/>
        </w:rPr>
      </w:pPr>
      <w:r>
        <w:rPr>
          <w:rFonts w:hint="eastAsia" w:ascii="仿宋" w:hAnsi="仿宋" w:eastAsia="仿宋" w:cs="仿宋"/>
          <w:sz w:val="24"/>
          <w:highlight w:val="none"/>
          <w:u w:val="single"/>
        </w:rPr>
        <w:br w:type="page"/>
      </w:r>
    </w:p>
    <w:p w14:paraId="57A999C5">
      <w:pPr>
        <w:pStyle w:val="19"/>
        <w:ind w:firstLine="480"/>
        <w:rPr>
          <w:rFonts w:hint="eastAsia" w:ascii="仿宋" w:hAnsi="仿宋" w:eastAsia="仿宋" w:cs="仿宋"/>
          <w:highlight w:val="none"/>
        </w:rPr>
        <w:sectPr>
          <w:pgSz w:w="16838" w:h="11906" w:orient="landscape"/>
          <w:pgMar w:top="1440" w:right="1800" w:bottom="1440" w:left="1800" w:header="851" w:footer="992" w:gutter="0"/>
          <w:cols w:space="0" w:num="1"/>
          <w:docGrid w:type="lines" w:linePitch="319" w:charSpace="0"/>
        </w:sectPr>
      </w:pPr>
    </w:p>
    <w:p w14:paraId="195CB8C3">
      <w:pPr>
        <w:pStyle w:val="4"/>
        <w:jc w:val="center"/>
        <w:rPr>
          <w:rFonts w:hint="eastAsia" w:ascii="仿宋" w:hAnsi="仿宋" w:eastAsia="仿宋" w:cs="仿宋"/>
          <w:szCs w:val="28"/>
          <w:highlight w:val="none"/>
          <w:lang w:eastAsia="zh-CN"/>
        </w:rPr>
      </w:pPr>
      <w:bookmarkStart w:id="203" w:name="_Toc14739"/>
      <w:bookmarkStart w:id="204" w:name="_Toc475970891"/>
      <w:bookmarkStart w:id="205" w:name="_Toc14864"/>
      <w:bookmarkStart w:id="206" w:name="_Toc223948602"/>
      <w:bookmarkStart w:id="207" w:name="_Toc31154"/>
      <w:bookmarkStart w:id="208" w:name="_Toc225565940"/>
      <w:bookmarkStart w:id="209" w:name="_Toc5658"/>
      <w:bookmarkStart w:id="210" w:name="_Toc3033"/>
      <w:bookmarkStart w:id="211" w:name="_Toc12248"/>
      <w:r>
        <w:rPr>
          <w:rFonts w:hint="eastAsia" w:ascii="仿宋" w:hAnsi="仿宋" w:eastAsia="仿宋" w:cs="仿宋"/>
          <w:sz w:val="28"/>
          <w:szCs w:val="28"/>
          <w:highlight w:val="none"/>
        </w:rPr>
        <w:t>4、</w:t>
      </w:r>
      <w:bookmarkEnd w:id="203"/>
      <w:bookmarkEnd w:id="204"/>
      <w:bookmarkEnd w:id="205"/>
      <w:bookmarkEnd w:id="206"/>
      <w:bookmarkEnd w:id="207"/>
      <w:bookmarkEnd w:id="208"/>
      <w:bookmarkEnd w:id="209"/>
      <w:bookmarkEnd w:id="210"/>
      <w:r>
        <w:rPr>
          <w:rFonts w:hint="eastAsia" w:ascii="仿宋" w:hAnsi="仿宋" w:eastAsia="仿宋" w:cs="仿宋"/>
          <w:sz w:val="28"/>
          <w:szCs w:val="28"/>
          <w:highlight w:val="none"/>
          <w:lang w:eastAsia="zh-CN"/>
        </w:rPr>
        <w:t>采购清单及技术需求响应承诺函</w:t>
      </w:r>
      <w:bookmarkEnd w:id="211"/>
    </w:p>
    <w:p w14:paraId="1B2C43D1">
      <w:pPr>
        <w:spacing w:line="48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我公司承诺：</w:t>
      </w:r>
    </w:p>
    <w:p w14:paraId="4D2FFFC8">
      <w:pPr>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rPr>
        <w:t>（一）采购清单</w:t>
      </w:r>
      <w:r>
        <w:rPr>
          <w:rFonts w:hint="eastAsia" w:ascii="仿宋" w:hAnsi="仿宋" w:eastAsia="仿宋" w:cs="仿宋"/>
          <w:b/>
          <w:bCs/>
          <w:sz w:val="28"/>
          <w:szCs w:val="28"/>
          <w:highlight w:val="none"/>
          <w:lang w:val="en-US" w:eastAsia="zh-CN"/>
        </w:rPr>
        <w:t>及技术需求</w:t>
      </w:r>
    </w:p>
    <w:tbl>
      <w:tblPr>
        <w:tblStyle w:val="20"/>
        <w:tblW w:w="5262" w:type="pct"/>
        <w:tblInd w:w="0" w:type="dxa"/>
        <w:tblLayout w:type="fixed"/>
        <w:tblCellMar>
          <w:top w:w="0" w:type="dxa"/>
          <w:left w:w="108" w:type="dxa"/>
          <w:bottom w:w="0" w:type="dxa"/>
          <w:right w:w="108" w:type="dxa"/>
        </w:tblCellMar>
      </w:tblPr>
      <w:tblGrid>
        <w:gridCol w:w="568"/>
        <w:gridCol w:w="781"/>
        <w:gridCol w:w="5106"/>
        <w:gridCol w:w="522"/>
        <w:gridCol w:w="481"/>
        <w:gridCol w:w="1511"/>
      </w:tblGrid>
      <w:tr w14:paraId="32E3DDB5">
        <w:tblPrEx>
          <w:tblCellMar>
            <w:top w:w="0" w:type="dxa"/>
            <w:left w:w="108" w:type="dxa"/>
            <w:bottom w:w="0" w:type="dxa"/>
            <w:right w:w="108" w:type="dxa"/>
          </w:tblCellMar>
        </w:tblPrEx>
        <w:trPr>
          <w:trHeight w:val="600"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352040DC">
            <w:pPr>
              <w:widowControl/>
              <w:spacing w:line="360" w:lineRule="auto"/>
              <w:jc w:val="center"/>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序号</w:t>
            </w:r>
          </w:p>
        </w:tc>
        <w:tc>
          <w:tcPr>
            <w:tcW w:w="435" w:type="pct"/>
            <w:tcBorders>
              <w:top w:val="single" w:color="000000" w:sz="4" w:space="0"/>
              <w:left w:val="single" w:color="000000" w:sz="4" w:space="0"/>
              <w:bottom w:val="single" w:color="000000" w:sz="4" w:space="0"/>
              <w:right w:val="single" w:color="000000" w:sz="4" w:space="0"/>
            </w:tcBorders>
            <w:vAlign w:val="center"/>
          </w:tcPr>
          <w:p w14:paraId="631ECD28">
            <w:pPr>
              <w:widowControl/>
              <w:spacing w:line="360" w:lineRule="auto"/>
              <w:jc w:val="center"/>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名称</w:t>
            </w:r>
          </w:p>
        </w:tc>
        <w:tc>
          <w:tcPr>
            <w:tcW w:w="2846" w:type="pct"/>
            <w:tcBorders>
              <w:top w:val="single" w:color="000000" w:sz="4" w:space="0"/>
              <w:left w:val="single" w:color="000000" w:sz="4" w:space="0"/>
              <w:bottom w:val="single" w:color="000000" w:sz="4" w:space="0"/>
              <w:right w:val="single" w:color="000000" w:sz="4" w:space="0"/>
            </w:tcBorders>
            <w:vAlign w:val="center"/>
          </w:tcPr>
          <w:p w14:paraId="0723CFD1">
            <w:pPr>
              <w:widowControl/>
              <w:spacing w:line="360" w:lineRule="auto"/>
              <w:jc w:val="center"/>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参数</w:t>
            </w:r>
          </w:p>
        </w:tc>
        <w:tc>
          <w:tcPr>
            <w:tcW w:w="291" w:type="pct"/>
            <w:tcBorders>
              <w:top w:val="single" w:color="000000" w:sz="4" w:space="0"/>
              <w:left w:val="single" w:color="000000" w:sz="4" w:space="0"/>
              <w:bottom w:val="single" w:color="000000" w:sz="4" w:space="0"/>
              <w:right w:val="single" w:color="000000" w:sz="4" w:space="0"/>
            </w:tcBorders>
            <w:vAlign w:val="center"/>
          </w:tcPr>
          <w:p w14:paraId="59033F35">
            <w:pPr>
              <w:widowControl/>
              <w:spacing w:line="360" w:lineRule="auto"/>
              <w:jc w:val="center"/>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数量</w:t>
            </w:r>
          </w:p>
        </w:tc>
        <w:tc>
          <w:tcPr>
            <w:tcW w:w="268" w:type="pct"/>
            <w:tcBorders>
              <w:top w:val="single" w:color="000000" w:sz="4" w:space="0"/>
              <w:left w:val="single" w:color="000000" w:sz="4" w:space="0"/>
              <w:bottom w:val="single" w:color="000000" w:sz="4" w:space="0"/>
              <w:right w:val="single" w:color="000000" w:sz="4" w:space="0"/>
            </w:tcBorders>
            <w:vAlign w:val="center"/>
          </w:tcPr>
          <w:p w14:paraId="3D1CC79B">
            <w:pPr>
              <w:widowControl/>
              <w:spacing w:line="360" w:lineRule="auto"/>
              <w:jc w:val="center"/>
              <w:textAlignment w:val="center"/>
              <w:rPr>
                <w:rFonts w:hint="eastAsia" w:ascii="仿宋" w:hAnsi="仿宋" w:eastAsia="仿宋" w:cs="仿宋"/>
                <w:b/>
                <w:bCs/>
                <w:kern w:val="0"/>
                <w:sz w:val="24"/>
                <w:highlight w:val="none"/>
                <w:lang w:bidi="ar"/>
              </w:rPr>
            </w:pPr>
            <w:r>
              <w:rPr>
                <w:rFonts w:hint="eastAsia" w:ascii="仿宋" w:hAnsi="仿宋" w:eastAsia="仿宋" w:cs="仿宋"/>
                <w:b/>
                <w:bCs/>
                <w:kern w:val="0"/>
                <w:sz w:val="24"/>
                <w:highlight w:val="none"/>
                <w:lang w:bidi="ar"/>
              </w:rPr>
              <w:t>单位</w:t>
            </w:r>
          </w:p>
        </w:tc>
        <w:tc>
          <w:tcPr>
            <w:tcW w:w="842" w:type="pct"/>
            <w:tcBorders>
              <w:top w:val="single" w:color="000000" w:sz="4" w:space="0"/>
              <w:left w:val="single" w:color="000000" w:sz="4" w:space="0"/>
              <w:bottom w:val="single" w:color="000000" w:sz="4" w:space="0"/>
              <w:right w:val="single" w:color="000000" w:sz="4" w:space="0"/>
            </w:tcBorders>
            <w:vAlign w:val="center"/>
          </w:tcPr>
          <w:p w14:paraId="2B448513">
            <w:pPr>
              <w:widowControl/>
              <w:spacing w:line="360" w:lineRule="auto"/>
              <w:jc w:val="center"/>
              <w:textAlignment w:val="center"/>
              <w:rPr>
                <w:rFonts w:hint="eastAsia" w:ascii="仿宋" w:hAnsi="仿宋" w:eastAsia="仿宋" w:cs="仿宋"/>
                <w:b/>
                <w:bCs/>
                <w:kern w:val="0"/>
                <w:sz w:val="24"/>
                <w:highlight w:val="none"/>
                <w:lang w:val="en-US" w:eastAsia="zh-CN" w:bidi="ar"/>
              </w:rPr>
            </w:pPr>
            <w:r>
              <w:rPr>
                <w:rFonts w:hint="eastAsia" w:ascii="仿宋" w:hAnsi="仿宋" w:eastAsia="仿宋" w:cs="仿宋"/>
                <w:b/>
                <w:bCs/>
                <w:kern w:val="0"/>
                <w:sz w:val="24"/>
                <w:highlight w:val="none"/>
                <w:lang w:val="en-US" w:eastAsia="zh-CN" w:bidi="ar"/>
              </w:rPr>
              <w:t>参考图片</w:t>
            </w:r>
          </w:p>
        </w:tc>
      </w:tr>
      <w:tr w14:paraId="7ED8D23B">
        <w:tblPrEx>
          <w:tblCellMar>
            <w:top w:w="0" w:type="dxa"/>
            <w:left w:w="108" w:type="dxa"/>
            <w:bottom w:w="0" w:type="dxa"/>
            <w:right w:w="108" w:type="dxa"/>
          </w:tblCellMar>
        </w:tblPrEx>
        <w:trPr>
          <w:trHeight w:val="90"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25DF445D">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w:t>
            </w:r>
          </w:p>
        </w:tc>
        <w:tc>
          <w:tcPr>
            <w:tcW w:w="435" w:type="pct"/>
            <w:tcBorders>
              <w:top w:val="single" w:color="000000" w:sz="4" w:space="0"/>
              <w:left w:val="single" w:color="000000" w:sz="4" w:space="0"/>
              <w:bottom w:val="single" w:color="000000" w:sz="4" w:space="0"/>
              <w:right w:val="single" w:color="000000" w:sz="4" w:space="0"/>
            </w:tcBorders>
            <w:vAlign w:val="center"/>
          </w:tcPr>
          <w:p w14:paraId="6F5A792C">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路由器</w:t>
            </w:r>
          </w:p>
        </w:tc>
        <w:tc>
          <w:tcPr>
            <w:tcW w:w="2846" w:type="pct"/>
            <w:tcBorders>
              <w:top w:val="single" w:color="000000" w:sz="4" w:space="0"/>
              <w:left w:val="single" w:color="000000" w:sz="4" w:space="0"/>
              <w:bottom w:val="single" w:color="000000" w:sz="4" w:space="0"/>
              <w:right w:val="single" w:color="000000" w:sz="4" w:space="0"/>
            </w:tcBorders>
            <w:vAlign w:val="center"/>
          </w:tcPr>
          <w:p w14:paraId="390E566F">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 性能：转发性能≥3Mpps，整机交换容量≥52Gbps；</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 端口：WAN≥5*GE+2*SFP，LAN≥8*GE ，业务扩展槽：≥2个，内置交流电源；</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3. 支持IPv4/IPv6；支持静态路由，支持动态路由的RIPv1/v2、OSPFv2、BGP、IS-IS、支持路由迭代、支持组播路由协议；</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5. 支持记录终端用户访问互联网的日志，包括：用户名、源/目的IP地址、时间、访问的域名、URL等；</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6.支持对PC、移动终端常见互联网应用识别，并能够针对应用下发过滤和限速控制策略；</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7.支持划分安全域，用于管理防火墙设备上安全需求相同的多个接口；</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8.通过动态VPN技术，实现动态获取对端分支节点当前的公网地址，从而实现两个节点之间动态建立跨越IP核心网络的动态VPN隧道简化VPN网络部署复杂度和提高管理效率；</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9.支持对系统软硬部件的内部事件、状态进行监控，出现特定事件后能够自动调整网络设备业务和控制策略，实现智能自动化控制；</w:t>
            </w:r>
          </w:p>
        </w:tc>
        <w:tc>
          <w:tcPr>
            <w:tcW w:w="291" w:type="pct"/>
            <w:tcBorders>
              <w:top w:val="single" w:color="000000" w:sz="4" w:space="0"/>
              <w:left w:val="single" w:color="000000" w:sz="4" w:space="0"/>
              <w:bottom w:val="single" w:color="000000" w:sz="4" w:space="0"/>
              <w:right w:val="single" w:color="000000" w:sz="4" w:space="0"/>
            </w:tcBorders>
            <w:vAlign w:val="center"/>
          </w:tcPr>
          <w:p w14:paraId="76C7ADB9">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w:t>
            </w:r>
          </w:p>
        </w:tc>
        <w:tc>
          <w:tcPr>
            <w:tcW w:w="268" w:type="pct"/>
            <w:tcBorders>
              <w:top w:val="single" w:color="000000" w:sz="4" w:space="0"/>
              <w:left w:val="single" w:color="000000" w:sz="4" w:space="0"/>
              <w:bottom w:val="single" w:color="000000" w:sz="4" w:space="0"/>
              <w:right w:val="single" w:color="000000" w:sz="4" w:space="0"/>
            </w:tcBorders>
            <w:vAlign w:val="center"/>
          </w:tcPr>
          <w:p w14:paraId="5B3EFC84">
            <w:pPr>
              <w:widowControl/>
              <w:spacing w:line="360" w:lineRule="auto"/>
              <w:jc w:val="center"/>
              <w:textAlignment w:val="center"/>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val="en-US" w:eastAsia="zh-CN" w:bidi="ar"/>
              </w:rPr>
              <w:t>台</w:t>
            </w:r>
          </w:p>
        </w:tc>
        <w:tc>
          <w:tcPr>
            <w:tcW w:w="842" w:type="pct"/>
            <w:tcBorders>
              <w:top w:val="single" w:color="000000" w:sz="4" w:space="0"/>
              <w:left w:val="single" w:color="000000" w:sz="4" w:space="0"/>
              <w:bottom w:val="single" w:color="000000" w:sz="4" w:space="0"/>
              <w:right w:val="single" w:color="000000" w:sz="4" w:space="0"/>
            </w:tcBorders>
            <w:vAlign w:val="center"/>
          </w:tcPr>
          <w:p w14:paraId="63C31F72">
            <w:pPr>
              <w:widowControl/>
              <w:spacing w:line="360" w:lineRule="auto"/>
              <w:jc w:val="center"/>
              <w:textAlignment w:val="center"/>
              <w:rPr>
                <w:rFonts w:hint="eastAsia" w:ascii="仿宋" w:hAnsi="仿宋" w:eastAsia="仿宋" w:cs="仿宋"/>
                <w:kern w:val="0"/>
                <w:sz w:val="24"/>
                <w:highlight w:val="none"/>
                <w:lang w:val="en-US" w:eastAsia="zh-CN" w:bidi="ar"/>
              </w:rPr>
            </w:pPr>
          </w:p>
        </w:tc>
      </w:tr>
      <w:tr w14:paraId="7EE5230C">
        <w:tblPrEx>
          <w:tblCellMar>
            <w:top w:w="0" w:type="dxa"/>
            <w:left w:w="108" w:type="dxa"/>
            <w:bottom w:w="0" w:type="dxa"/>
            <w:right w:w="108" w:type="dxa"/>
          </w:tblCellMar>
        </w:tblPrEx>
        <w:trPr>
          <w:trHeight w:val="90"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30A4BD49">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2</w:t>
            </w:r>
          </w:p>
        </w:tc>
        <w:tc>
          <w:tcPr>
            <w:tcW w:w="435" w:type="pct"/>
            <w:tcBorders>
              <w:top w:val="single" w:color="000000" w:sz="4" w:space="0"/>
              <w:left w:val="single" w:color="000000" w:sz="4" w:space="0"/>
              <w:bottom w:val="single" w:color="000000" w:sz="4" w:space="0"/>
              <w:right w:val="single" w:color="000000" w:sz="4" w:space="0"/>
            </w:tcBorders>
            <w:vAlign w:val="center"/>
          </w:tcPr>
          <w:p w14:paraId="0EFFA64C">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三层可控交换机</w:t>
            </w:r>
          </w:p>
        </w:tc>
        <w:tc>
          <w:tcPr>
            <w:tcW w:w="2846" w:type="pct"/>
            <w:tcBorders>
              <w:top w:val="single" w:color="000000" w:sz="4" w:space="0"/>
              <w:left w:val="single" w:color="000000" w:sz="4" w:space="0"/>
              <w:bottom w:val="single" w:color="000000" w:sz="4" w:space="0"/>
              <w:right w:val="single" w:color="000000" w:sz="4" w:space="0"/>
            </w:tcBorders>
            <w:vAlign w:val="center"/>
          </w:tcPr>
          <w:p w14:paraId="50FD6F5E">
            <w:pPr>
              <w:widowControl/>
              <w:numPr>
                <w:ilvl w:val="0"/>
                <w:numId w:val="1"/>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交换容量≥672Gbps，包转发率≥126Mpps；</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2、提供≥24个千兆电口，≥4个千兆光口；</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3、支持IPv4/IPv6静态路由，RIP/RIPng，OSPFv1/v2/v3等路由；</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4、支持VLAN、ACL、QoS、组播、链路聚合、虚拟化、端口镜像等功能；</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5、支持命令行、Telnet、SNMP、RMON、WEB网管；</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6、MAC地址≥16K，路由表容量≥3K，ARP表项≥2K；</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7、支持、RSTP、MSTP、、ERPS、等协议；</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8、实现CPU保护功能，能限制非法报文对CPU的攻击，保护交换机在各种环境下稳定工作；</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9、支持802.1X认证，支持集中式MAC地址认证;</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10、支持OAM(802.1AG， 802.3AH)以太网运行、维护和管理标准；</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11、符合IEEE 802.3az（EEE）节能标准，支持端口休眠；</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12、支持图形化管理功能，支持由管理设备下发功能，配合管理设备实现终端识别、一键替换设备、批量下发配置、资源监控、支持纵向虚拟化统一管理；</w:t>
            </w:r>
          </w:p>
        </w:tc>
        <w:tc>
          <w:tcPr>
            <w:tcW w:w="291" w:type="pct"/>
            <w:tcBorders>
              <w:top w:val="single" w:color="000000" w:sz="4" w:space="0"/>
              <w:left w:val="single" w:color="000000" w:sz="4" w:space="0"/>
              <w:bottom w:val="single" w:color="000000" w:sz="4" w:space="0"/>
              <w:right w:val="single" w:color="000000" w:sz="4" w:space="0"/>
            </w:tcBorders>
            <w:vAlign w:val="center"/>
          </w:tcPr>
          <w:p w14:paraId="19E722F2">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w:t>
            </w:r>
          </w:p>
        </w:tc>
        <w:tc>
          <w:tcPr>
            <w:tcW w:w="268" w:type="pct"/>
            <w:tcBorders>
              <w:top w:val="single" w:color="000000" w:sz="4" w:space="0"/>
              <w:left w:val="single" w:color="000000" w:sz="4" w:space="0"/>
              <w:bottom w:val="single" w:color="000000" w:sz="4" w:space="0"/>
              <w:right w:val="single" w:color="000000" w:sz="4" w:space="0"/>
            </w:tcBorders>
            <w:vAlign w:val="center"/>
          </w:tcPr>
          <w:p w14:paraId="71FA14EF">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台</w:t>
            </w:r>
          </w:p>
        </w:tc>
        <w:tc>
          <w:tcPr>
            <w:tcW w:w="842" w:type="pct"/>
            <w:tcBorders>
              <w:top w:val="single" w:color="000000" w:sz="4" w:space="0"/>
              <w:left w:val="single" w:color="000000" w:sz="4" w:space="0"/>
              <w:bottom w:val="single" w:color="000000" w:sz="4" w:space="0"/>
              <w:right w:val="single" w:color="000000" w:sz="4" w:space="0"/>
            </w:tcBorders>
            <w:vAlign w:val="center"/>
          </w:tcPr>
          <w:p w14:paraId="06753298">
            <w:pPr>
              <w:widowControl/>
              <w:spacing w:line="360" w:lineRule="auto"/>
              <w:jc w:val="center"/>
              <w:textAlignment w:val="center"/>
              <w:rPr>
                <w:rFonts w:hint="eastAsia" w:ascii="仿宋" w:hAnsi="仿宋" w:eastAsia="仿宋" w:cs="仿宋"/>
                <w:kern w:val="0"/>
                <w:sz w:val="24"/>
                <w:highlight w:val="none"/>
                <w:lang w:val="en-US" w:eastAsia="zh-CN" w:bidi="ar"/>
              </w:rPr>
            </w:pPr>
          </w:p>
        </w:tc>
      </w:tr>
      <w:tr w14:paraId="524BA69D">
        <w:tblPrEx>
          <w:tblCellMar>
            <w:top w:w="0" w:type="dxa"/>
            <w:left w:w="108" w:type="dxa"/>
            <w:bottom w:w="0" w:type="dxa"/>
            <w:right w:w="108" w:type="dxa"/>
          </w:tblCellMar>
        </w:tblPrEx>
        <w:trPr>
          <w:trHeight w:val="90"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3ACB55C6">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3</w:t>
            </w:r>
          </w:p>
        </w:tc>
        <w:tc>
          <w:tcPr>
            <w:tcW w:w="435" w:type="pct"/>
            <w:tcBorders>
              <w:top w:val="single" w:color="000000" w:sz="4" w:space="0"/>
              <w:left w:val="single" w:color="000000" w:sz="4" w:space="0"/>
              <w:bottom w:val="single" w:color="000000" w:sz="4" w:space="0"/>
              <w:right w:val="single" w:color="000000" w:sz="4" w:space="0"/>
            </w:tcBorders>
            <w:vAlign w:val="center"/>
          </w:tcPr>
          <w:p w14:paraId="62405485">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二层可控交换机</w:t>
            </w:r>
          </w:p>
        </w:tc>
        <w:tc>
          <w:tcPr>
            <w:tcW w:w="2846" w:type="pct"/>
            <w:tcBorders>
              <w:top w:val="single" w:color="000000" w:sz="4" w:space="0"/>
              <w:left w:val="single" w:color="000000" w:sz="4" w:space="0"/>
              <w:bottom w:val="single" w:color="000000" w:sz="4" w:space="0"/>
              <w:right w:val="single" w:color="000000" w:sz="4" w:space="0"/>
            </w:tcBorders>
            <w:vAlign w:val="center"/>
          </w:tcPr>
          <w:p w14:paraId="059E5543">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1、交换容量≥672Gbps；</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2、提供≥8个千兆电口，≥4个千兆光口；整机POE供电功率≥125W；</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3、支持IPv4/IPv6静态路由，RIP/RIPng，OSPFv1/v2/v3等路由；</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4、支持VLAN、ACL、QoS、组播、链路聚合、虚拟化、端口镜像等功能；</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5、支持命令行、Telnet、SNMP、RMON、WEB网管；</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6、MAC地址≥16K，路由表容量≥3K，ARP表项≥2K；</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7、支持RSTP、MSTP、ERPS等协议；</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8、实现CPU保护功能，能限制非法报文对CPU的攻击，保护交换机在各种环境下稳定工作；</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9、支持802.1X认证，支持集中式MAC地址认证;</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10、支持OAM(802.1AG， 802.3AH)以太网运行、维护和管理标准；</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11、符合IEEE 802.3az（EEE）节能标准，支持端口休眠；</w:t>
            </w:r>
          </w:p>
          <w:p w14:paraId="0443A2CF">
            <w:pPr>
              <w:widowControl/>
              <w:shd w:val="clear" w:color="auto" w:fill="FFFFFF" w:themeFill="background1"/>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1</w:t>
            </w:r>
            <w:r>
              <w:rPr>
                <w:rFonts w:hint="eastAsia" w:ascii="仿宋" w:hAnsi="仿宋" w:eastAsia="仿宋" w:cs="仿宋"/>
                <w:kern w:val="0"/>
                <w:sz w:val="24"/>
                <w:highlight w:val="none"/>
                <w:lang w:val="en-US" w:eastAsia="zh-CN" w:bidi="ar"/>
              </w:rPr>
              <w:t>2</w:t>
            </w:r>
            <w:r>
              <w:rPr>
                <w:rFonts w:hint="eastAsia" w:ascii="仿宋" w:hAnsi="仿宋" w:eastAsia="仿宋" w:cs="仿宋"/>
                <w:kern w:val="0"/>
                <w:sz w:val="24"/>
                <w:highlight w:val="none"/>
                <w:lang w:bidi="ar"/>
              </w:rPr>
              <w:t>、支持Smartlink功能，Smartlink性能测试收敛时间小于50ms；</w:t>
            </w:r>
          </w:p>
          <w:p w14:paraId="47374EB3">
            <w:pPr>
              <w:widowControl/>
              <w:shd w:val="clear" w:color="auto" w:fill="FFFFFF" w:themeFill="background1"/>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1</w:t>
            </w:r>
            <w:r>
              <w:rPr>
                <w:rFonts w:hint="eastAsia" w:ascii="仿宋" w:hAnsi="仿宋" w:eastAsia="仿宋" w:cs="仿宋"/>
                <w:kern w:val="0"/>
                <w:sz w:val="24"/>
                <w:highlight w:val="none"/>
                <w:lang w:val="en-US" w:eastAsia="zh-CN" w:bidi="ar"/>
              </w:rPr>
              <w:t>3</w:t>
            </w:r>
            <w:r>
              <w:rPr>
                <w:rFonts w:hint="eastAsia" w:ascii="仿宋" w:hAnsi="仿宋" w:eastAsia="仿宋" w:cs="仿宋"/>
                <w:kern w:val="0"/>
                <w:sz w:val="24"/>
                <w:highlight w:val="none"/>
                <w:lang w:bidi="ar"/>
              </w:rPr>
              <w:t>、支持9台设备堆叠，可实现集中管理；</w:t>
            </w:r>
          </w:p>
        </w:tc>
        <w:tc>
          <w:tcPr>
            <w:tcW w:w="291" w:type="pct"/>
            <w:tcBorders>
              <w:top w:val="single" w:color="000000" w:sz="4" w:space="0"/>
              <w:left w:val="single" w:color="000000" w:sz="4" w:space="0"/>
              <w:bottom w:val="single" w:color="000000" w:sz="4" w:space="0"/>
              <w:right w:val="single" w:color="000000" w:sz="4" w:space="0"/>
            </w:tcBorders>
            <w:vAlign w:val="center"/>
          </w:tcPr>
          <w:p w14:paraId="7B6AD57C">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w:t>
            </w:r>
          </w:p>
        </w:tc>
        <w:tc>
          <w:tcPr>
            <w:tcW w:w="268" w:type="pct"/>
            <w:tcBorders>
              <w:top w:val="single" w:color="000000" w:sz="4" w:space="0"/>
              <w:left w:val="single" w:color="000000" w:sz="4" w:space="0"/>
              <w:bottom w:val="single" w:color="000000" w:sz="4" w:space="0"/>
              <w:right w:val="single" w:color="000000" w:sz="4" w:space="0"/>
            </w:tcBorders>
            <w:vAlign w:val="center"/>
          </w:tcPr>
          <w:p w14:paraId="4B3702E5">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台</w:t>
            </w:r>
          </w:p>
        </w:tc>
        <w:tc>
          <w:tcPr>
            <w:tcW w:w="842" w:type="pct"/>
            <w:tcBorders>
              <w:top w:val="single" w:color="000000" w:sz="4" w:space="0"/>
              <w:left w:val="single" w:color="000000" w:sz="4" w:space="0"/>
              <w:bottom w:val="single" w:color="000000" w:sz="4" w:space="0"/>
              <w:right w:val="single" w:color="000000" w:sz="4" w:space="0"/>
            </w:tcBorders>
            <w:vAlign w:val="center"/>
          </w:tcPr>
          <w:p w14:paraId="024B9499">
            <w:pPr>
              <w:widowControl/>
              <w:spacing w:line="360" w:lineRule="auto"/>
              <w:jc w:val="center"/>
              <w:textAlignment w:val="center"/>
              <w:rPr>
                <w:rFonts w:hint="eastAsia" w:ascii="仿宋" w:hAnsi="仿宋" w:eastAsia="仿宋" w:cs="仿宋"/>
                <w:kern w:val="0"/>
                <w:sz w:val="24"/>
                <w:highlight w:val="none"/>
                <w:lang w:val="en-US" w:eastAsia="zh-CN" w:bidi="ar"/>
              </w:rPr>
            </w:pPr>
          </w:p>
        </w:tc>
      </w:tr>
      <w:tr w14:paraId="7FBD4A01">
        <w:tblPrEx>
          <w:tblCellMar>
            <w:top w:w="0" w:type="dxa"/>
            <w:left w:w="108" w:type="dxa"/>
            <w:bottom w:w="0" w:type="dxa"/>
            <w:right w:w="108" w:type="dxa"/>
          </w:tblCellMar>
        </w:tblPrEx>
        <w:trPr>
          <w:trHeight w:val="90"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51E089E3">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4</w:t>
            </w:r>
          </w:p>
        </w:tc>
        <w:tc>
          <w:tcPr>
            <w:tcW w:w="435" w:type="pct"/>
            <w:tcBorders>
              <w:top w:val="single" w:color="000000" w:sz="4" w:space="0"/>
              <w:left w:val="single" w:color="000000" w:sz="4" w:space="0"/>
              <w:bottom w:val="single" w:color="000000" w:sz="4" w:space="0"/>
              <w:right w:val="single" w:color="000000" w:sz="4" w:space="0"/>
            </w:tcBorders>
            <w:vAlign w:val="center"/>
          </w:tcPr>
          <w:p w14:paraId="01ED5D5A">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无线AC</w:t>
            </w:r>
          </w:p>
        </w:tc>
        <w:tc>
          <w:tcPr>
            <w:tcW w:w="2846" w:type="pct"/>
            <w:tcBorders>
              <w:top w:val="single" w:color="000000" w:sz="4" w:space="0"/>
              <w:left w:val="single" w:color="000000" w:sz="4" w:space="0"/>
              <w:bottom w:val="single" w:color="000000" w:sz="4" w:space="0"/>
              <w:right w:val="single" w:color="000000" w:sz="4" w:space="0"/>
            </w:tcBorders>
            <w:vAlign w:val="center"/>
          </w:tcPr>
          <w:p w14:paraId="374560F5">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1、要求所投产品满足常规AP最大数量≥144；本次实际配置≥1个AP管理授权；</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2、要求所投产品集中转发性能≥10Gbps；</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3、要求所投产品提供≥8个千兆GE端口，≥2个2.5GE端口，以及≥2个万兆SFP+端口；</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4、为使得网络管理员实时感知网络状态，所投产品需要在网络发生异常时，可利用短信、微信、邮件等三种不同方式推送告警信息；</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5、支持 IPv4 和 IPv6 双栈，支持用户地址和隧道地址任意选择使用IPv4或IPv6 ，灵活组合使用；</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6、支持在portal认证时基于源/目的地址配置白名单(放行规则)功能，允许终端在认证前访问指定的网络。支持Portal 认证基于源/目的地址配置黑名单(阻断规则)功能，禁止终端在 Portal 认证成功后访问指定的网络；</w:t>
            </w:r>
          </w:p>
        </w:tc>
        <w:tc>
          <w:tcPr>
            <w:tcW w:w="291" w:type="pct"/>
            <w:tcBorders>
              <w:top w:val="single" w:color="000000" w:sz="4" w:space="0"/>
              <w:left w:val="single" w:color="000000" w:sz="4" w:space="0"/>
              <w:bottom w:val="single" w:color="000000" w:sz="4" w:space="0"/>
              <w:right w:val="single" w:color="000000" w:sz="4" w:space="0"/>
            </w:tcBorders>
            <w:vAlign w:val="center"/>
          </w:tcPr>
          <w:p w14:paraId="6986FE19">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w:t>
            </w:r>
          </w:p>
        </w:tc>
        <w:tc>
          <w:tcPr>
            <w:tcW w:w="268" w:type="pct"/>
            <w:tcBorders>
              <w:top w:val="single" w:color="000000" w:sz="4" w:space="0"/>
              <w:left w:val="single" w:color="000000" w:sz="4" w:space="0"/>
              <w:bottom w:val="single" w:color="000000" w:sz="4" w:space="0"/>
              <w:right w:val="single" w:color="000000" w:sz="4" w:space="0"/>
            </w:tcBorders>
            <w:vAlign w:val="center"/>
          </w:tcPr>
          <w:p w14:paraId="67A689DB">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6AF71EE6">
            <w:pPr>
              <w:widowControl/>
              <w:spacing w:line="360" w:lineRule="auto"/>
              <w:jc w:val="center"/>
              <w:textAlignment w:val="center"/>
              <w:rPr>
                <w:rFonts w:hint="eastAsia" w:ascii="仿宋" w:hAnsi="仿宋" w:eastAsia="仿宋" w:cs="仿宋"/>
                <w:kern w:val="0"/>
                <w:sz w:val="24"/>
                <w:highlight w:val="none"/>
                <w:lang w:bidi="ar"/>
              </w:rPr>
            </w:pPr>
          </w:p>
        </w:tc>
      </w:tr>
      <w:tr w14:paraId="1D0797C3">
        <w:tblPrEx>
          <w:tblCellMar>
            <w:top w:w="0" w:type="dxa"/>
            <w:left w:w="108" w:type="dxa"/>
            <w:bottom w:w="0" w:type="dxa"/>
            <w:right w:w="108" w:type="dxa"/>
          </w:tblCellMar>
        </w:tblPrEx>
        <w:trPr>
          <w:trHeight w:val="90"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547F1557">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5</w:t>
            </w:r>
          </w:p>
        </w:tc>
        <w:tc>
          <w:tcPr>
            <w:tcW w:w="435" w:type="pct"/>
            <w:tcBorders>
              <w:top w:val="single" w:color="000000" w:sz="4" w:space="0"/>
              <w:left w:val="single" w:color="000000" w:sz="4" w:space="0"/>
              <w:bottom w:val="single" w:color="000000" w:sz="4" w:space="0"/>
              <w:right w:val="single" w:color="000000" w:sz="4" w:space="0"/>
            </w:tcBorders>
            <w:vAlign w:val="center"/>
          </w:tcPr>
          <w:p w14:paraId="794AAE17">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无线AP</w:t>
            </w:r>
          </w:p>
        </w:tc>
        <w:tc>
          <w:tcPr>
            <w:tcW w:w="2846" w:type="pct"/>
            <w:tcBorders>
              <w:top w:val="single" w:color="000000" w:sz="4" w:space="0"/>
              <w:left w:val="single" w:color="000000" w:sz="4" w:space="0"/>
              <w:bottom w:val="single" w:color="000000" w:sz="4" w:space="0"/>
              <w:right w:val="single" w:color="000000" w:sz="4" w:space="0"/>
            </w:tcBorders>
            <w:vAlign w:val="center"/>
          </w:tcPr>
          <w:p w14:paraId="7AA16970">
            <w:pPr>
              <w:widowControl/>
              <w:numPr>
                <w:ilvl w:val="0"/>
                <w:numId w:val="2"/>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整机采用双频4流设计，可工作在802.11a/b/g/n/ac/ac wave2/ax/be模式；</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2、整机接入速率≥3.57Gbps；≥1个100/1000M/2.5G电口；</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3、满足基于空口利用率的SSID自动隐藏功能，当空口繁忙程度达到或超过配置的阈值时，SSID自动隐藏；</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4、满足WPA3个人级方式下的终端接入；满足WPA3企业级模式下的终端接入功能；</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5、支持WLAN上行链路检测功能，实时监测上行链路的可行性，当上行链路不可达时，将射频关闭，避免终端连接到不可用的网络；</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6、支持USB接口可以连接外置设备如U盘或手机等，实现文件转储和对外充电功能 ；</w:t>
            </w:r>
          </w:p>
          <w:p w14:paraId="40547E17">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7、在10米距离下，使用WIFI7终端接入测试，5GHz频段在160MHz频宽下，单用户极限性能可达到1800Mbps以上；在80MHz频宽下，单用户极限性能可达到1000Mbps以上；</w:t>
            </w:r>
          </w:p>
        </w:tc>
        <w:tc>
          <w:tcPr>
            <w:tcW w:w="291" w:type="pct"/>
            <w:tcBorders>
              <w:top w:val="single" w:color="000000" w:sz="4" w:space="0"/>
              <w:left w:val="single" w:color="000000" w:sz="4" w:space="0"/>
              <w:bottom w:val="single" w:color="000000" w:sz="4" w:space="0"/>
              <w:right w:val="single" w:color="000000" w:sz="4" w:space="0"/>
            </w:tcBorders>
            <w:vAlign w:val="center"/>
          </w:tcPr>
          <w:p w14:paraId="05A56BEF">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w:t>
            </w:r>
          </w:p>
        </w:tc>
        <w:tc>
          <w:tcPr>
            <w:tcW w:w="268" w:type="pct"/>
            <w:tcBorders>
              <w:top w:val="single" w:color="000000" w:sz="4" w:space="0"/>
              <w:left w:val="single" w:color="000000" w:sz="4" w:space="0"/>
              <w:bottom w:val="single" w:color="000000" w:sz="4" w:space="0"/>
              <w:right w:val="single" w:color="000000" w:sz="4" w:space="0"/>
            </w:tcBorders>
            <w:vAlign w:val="center"/>
          </w:tcPr>
          <w:p w14:paraId="0447D1AE">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53DA29E5">
            <w:pPr>
              <w:widowControl/>
              <w:spacing w:line="360" w:lineRule="auto"/>
              <w:jc w:val="center"/>
              <w:textAlignment w:val="center"/>
              <w:rPr>
                <w:rFonts w:hint="eastAsia" w:ascii="仿宋" w:hAnsi="仿宋" w:eastAsia="仿宋" w:cs="仿宋"/>
                <w:kern w:val="0"/>
                <w:sz w:val="24"/>
                <w:highlight w:val="none"/>
                <w:lang w:bidi="ar"/>
              </w:rPr>
            </w:pPr>
          </w:p>
        </w:tc>
      </w:tr>
      <w:tr w14:paraId="097E37A2">
        <w:tblPrEx>
          <w:tblCellMar>
            <w:top w:w="0" w:type="dxa"/>
            <w:left w:w="108" w:type="dxa"/>
            <w:bottom w:w="0" w:type="dxa"/>
            <w:right w:w="108" w:type="dxa"/>
          </w:tblCellMar>
        </w:tblPrEx>
        <w:trPr>
          <w:trHeight w:val="90"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03197888">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6</w:t>
            </w:r>
          </w:p>
        </w:tc>
        <w:tc>
          <w:tcPr>
            <w:tcW w:w="435" w:type="pct"/>
            <w:tcBorders>
              <w:top w:val="single" w:color="000000" w:sz="4" w:space="0"/>
              <w:left w:val="single" w:color="000000" w:sz="4" w:space="0"/>
              <w:bottom w:val="single" w:color="000000" w:sz="4" w:space="0"/>
              <w:right w:val="single" w:color="000000" w:sz="4" w:space="0"/>
            </w:tcBorders>
            <w:vAlign w:val="center"/>
          </w:tcPr>
          <w:p w14:paraId="728A9151">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设备操作管理控制中心</w:t>
            </w:r>
          </w:p>
        </w:tc>
        <w:tc>
          <w:tcPr>
            <w:tcW w:w="2846" w:type="pct"/>
            <w:tcBorders>
              <w:top w:val="single" w:color="000000" w:sz="4" w:space="0"/>
              <w:left w:val="single" w:color="000000" w:sz="4" w:space="0"/>
              <w:bottom w:val="single" w:color="000000" w:sz="4" w:space="0"/>
              <w:right w:val="single" w:color="000000" w:sz="4" w:space="0"/>
            </w:tcBorders>
            <w:vAlign w:val="center"/>
          </w:tcPr>
          <w:p w14:paraId="30ED3324">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1.固化10/100M以太网接口数量≥2个，固化光口数量≥2个,console口≥1，com≥32个，支持reset按键，提供设备图片；</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2.支持同时管理和控制的网络设备数量≥32个；</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3.支持普通用户、访客用户、管理用户等账号分权登录；</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4.支持USB2.0协议，USB口作为拓展口使用；</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5.支持HTTP、HTTPS、SSH等方式登录设备；</w:t>
            </w:r>
            <w:r>
              <w:rPr>
                <w:rFonts w:hint="eastAsia" w:ascii="仿宋" w:hAnsi="仿宋" w:eastAsia="仿宋" w:cs="仿宋"/>
                <w:kern w:val="0"/>
                <w:sz w:val="24"/>
                <w:highlight w:val="none"/>
                <w:lang w:bidi="ar"/>
              </w:rPr>
              <w:br w:type="textWrapping"/>
            </w:r>
            <w:r>
              <w:rPr>
                <w:rFonts w:hint="eastAsia" w:ascii="仿宋" w:hAnsi="仿宋" w:eastAsia="仿宋" w:cs="仿宋"/>
                <w:b/>
                <w:bCs/>
                <w:kern w:val="0"/>
                <w:sz w:val="24"/>
                <w:highlight w:val="none"/>
                <w:lang w:bidi="ar"/>
              </w:rPr>
              <w:t>※</w:t>
            </w:r>
            <w:r>
              <w:rPr>
                <w:rFonts w:hint="eastAsia" w:ascii="仿宋" w:hAnsi="仿宋" w:eastAsia="仿宋" w:cs="仿宋"/>
                <w:kern w:val="0"/>
                <w:sz w:val="24"/>
                <w:highlight w:val="none"/>
                <w:lang w:bidi="ar"/>
              </w:rPr>
              <w:t>6.Web界面支持查看每个串口的使用者IP及端口，</w:t>
            </w:r>
            <w:r>
              <w:rPr>
                <w:rFonts w:hint="eastAsia" w:ascii="仿宋" w:hAnsi="仿宋" w:eastAsia="仿宋" w:cs="仿宋"/>
                <w:b/>
                <w:bCs/>
                <w:color w:val="EE0000"/>
                <w:kern w:val="0"/>
                <w:sz w:val="24"/>
                <w:highlight w:val="none"/>
                <w:lang w:bidi="ar"/>
              </w:rPr>
              <w:t>响应文件提供加盖供应商公章的产品功能截图</w:t>
            </w:r>
            <w:r>
              <w:rPr>
                <w:rFonts w:hint="eastAsia" w:ascii="仿宋" w:hAnsi="仿宋" w:eastAsia="仿宋" w:cs="仿宋"/>
                <w:kern w:val="0"/>
                <w:sz w:val="24"/>
                <w:highlight w:val="none"/>
                <w:lang w:bidi="ar"/>
              </w:rPr>
              <w:t>；</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7.单独串口支持≥8个终端同时使用；</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8.支持日志管理，至少支持本地存储、网络存储、U盘存储和串口日志输出等；</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9.支持NTP功能，对接NTP服务器自动修改设备时间</w:t>
            </w:r>
            <w:r>
              <w:rPr>
                <w:rFonts w:hint="eastAsia" w:ascii="仿宋" w:hAnsi="仿宋" w:eastAsia="仿宋" w:cs="仿宋"/>
                <w:b/>
                <w:bCs/>
                <w:color w:val="EE0000"/>
                <w:kern w:val="0"/>
                <w:sz w:val="24"/>
                <w:highlight w:val="none"/>
                <w:lang w:bidi="ar"/>
              </w:rPr>
              <w:t>响应文件提供加盖供应商公章的产品功能截图</w:t>
            </w:r>
            <w:r>
              <w:rPr>
                <w:rFonts w:hint="eastAsia" w:ascii="仿宋" w:hAnsi="仿宋" w:eastAsia="仿宋" w:cs="仿宋"/>
                <w:kern w:val="0"/>
                <w:sz w:val="24"/>
                <w:highlight w:val="none"/>
                <w:lang w:bidi="ar"/>
              </w:rPr>
              <w:t>；</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10.支持地址过滤功能，限制某IP或某MAC访问；</w:t>
            </w:r>
          </w:p>
        </w:tc>
        <w:tc>
          <w:tcPr>
            <w:tcW w:w="291" w:type="pct"/>
            <w:tcBorders>
              <w:top w:val="single" w:color="000000" w:sz="4" w:space="0"/>
              <w:left w:val="single" w:color="000000" w:sz="4" w:space="0"/>
              <w:bottom w:val="single" w:color="000000" w:sz="4" w:space="0"/>
              <w:right w:val="single" w:color="000000" w:sz="4" w:space="0"/>
            </w:tcBorders>
            <w:vAlign w:val="center"/>
          </w:tcPr>
          <w:p w14:paraId="43F847C6">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4</w:t>
            </w:r>
          </w:p>
        </w:tc>
        <w:tc>
          <w:tcPr>
            <w:tcW w:w="268" w:type="pct"/>
            <w:tcBorders>
              <w:top w:val="single" w:color="000000" w:sz="4" w:space="0"/>
              <w:left w:val="single" w:color="000000" w:sz="4" w:space="0"/>
              <w:bottom w:val="single" w:color="000000" w:sz="4" w:space="0"/>
              <w:right w:val="single" w:color="000000" w:sz="4" w:space="0"/>
            </w:tcBorders>
            <w:vAlign w:val="center"/>
          </w:tcPr>
          <w:p w14:paraId="19711C19">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72807368">
            <w:pPr>
              <w:widowControl/>
              <w:spacing w:line="360" w:lineRule="auto"/>
              <w:jc w:val="center"/>
              <w:textAlignment w:val="center"/>
              <w:rPr>
                <w:rFonts w:hint="eastAsia" w:ascii="仿宋" w:hAnsi="仿宋" w:eastAsia="仿宋" w:cs="仿宋"/>
                <w:kern w:val="0"/>
                <w:sz w:val="24"/>
                <w:highlight w:val="none"/>
                <w:lang w:bidi="ar"/>
              </w:rPr>
            </w:pPr>
          </w:p>
        </w:tc>
      </w:tr>
      <w:tr w14:paraId="723DD1F0">
        <w:tblPrEx>
          <w:tblCellMar>
            <w:top w:w="0" w:type="dxa"/>
            <w:left w:w="108" w:type="dxa"/>
            <w:bottom w:w="0" w:type="dxa"/>
            <w:right w:w="108" w:type="dxa"/>
          </w:tblCellMar>
        </w:tblPrEx>
        <w:trPr>
          <w:trHeight w:val="90"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20EC9A61">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7</w:t>
            </w:r>
          </w:p>
        </w:tc>
        <w:tc>
          <w:tcPr>
            <w:tcW w:w="435" w:type="pct"/>
            <w:tcBorders>
              <w:top w:val="single" w:color="000000" w:sz="4" w:space="0"/>
              <w:left w:val="single" w:color="000000" w:sz="4" w:space="0"/>
              <w:bottom w:val="single" w:color="000000" w:sz="4" w:space="0"/>
              <w:right w:val="single" w:color="000000" w:sz="4" w:space="0"/>
            </w:tcBorders>
            <w:vAlign w:val="center"/>
          </w:tcPr>
          <w:p w14:paraId="0BDB1BF9">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教学管理节点</w:t>
            </w:r>
          </w:p>
        </w:tc>
        <w:tc>
          <w:tcPr>
            <w:tcW w:w="2846" w:type="pct"/>
            <w:tcBorders>
              <w:top w:val="single" w:color="000000" w:sz="4" w:space="0"/>
              <w:left w:val="single" w:color="000000" w:sz="4" w:space="0"/>
              <w:bottom w:val="single" w:color="000000" w:sz="4" w:space="0"/>
              <w:right w:val="single" w:color="000000" w:sz="4" w:space="0"/>
            </w:tcBorders>
            <w:vAlign w:val="center"/>
          </w:tcPr>
          <w:p w14:paraId="64AF6E68">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1、可支持2颗Intel Xeon Skylake/Cascade lake系列处理器；</w:t>
            </w:r>
          </w:p>
          <w:p w14:paraId="75C320C3">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2、配1条DDR4 Registered DIMM 64GB 3200MHz;可支持24个内存插槽；</w:t>
            </w:r>
          </w:p>
          <w:p w14:paraId="78E715CD">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3、标配2*GE+2*10GE网口以太网卡；</w:t>
            </w:r>
          </w:p>
          <w:p w14:paraId="251F6909">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4、2*480G SSD ，RAID支持 0 1 5 10 可支持配置8块2.5inch托架的SATA/SAS硬盘；</w:t>
            </w:r>
          </w:p>
          <w:p w14:paraId="2404525D">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5、可使用PCIe Riser卡扩展插槽；</w:t>
            </w:r>
          </w:p>
          <w:p w14:paraId="3FD92543">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6、 N+1个冗余系统风扇；</w:t>
            </w:r>
          </w:p>
          <w:p w14:paraId="26FE9759">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7、4个USB（前面2个，后面2个）；</w:t>
            </w:r>
          </w:p>
          <w:p w14:paraId="45B5A178">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8、集成BMC管理模块，支持IPMI、SOL、KVM Over IP、虚拟媒体等管理特性，对外提供1个10/100Mbps RJ45管理网口；</w:t>
            </w:r>
          </w:p>
          <w:p w14:paraId="44D17025">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9、支持1+1冗余电源，配1个550W交流电源；无DVD；导轨；2U机架式。</w:t>
            </w:r>
          </w:p>
        </w:tc>
        <w:tc>
          <w:tcPr>
            <w:tcW w:w="291" w:type="pct"/>
            <w:tcBorders>
              <w:top w:val="single" w:color="000000" w:sz="4" w:space="0"/>
              <w:left w:val="single" w:color="000000" w:sz="4" w:space="0"/>
              <w:bottom w:val="single" w:color="000000" w:sz="4" w:space="0"/>
              <w:right w:val="single" w:color="000000" w:sz="4" w:space="0"/>
            </w:tcBorders>
            <w:vAlign w:val="center"/>
          </w:tcPr>
          <w:p w14:paraId="61C0A7B4">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w:t>
            </w:r>
          </w:p>
        </w:tc>
        <w:tc>
          <w:tcPr>
            <w:tcW w:w="268" w:type="pct"/>
            <w:tcBorders>
              <w:top w:val="single" w:color="000000" w:sz="4" w:space="0"/>
              <w:left w:val="single" w:color="000000" w:sz="4" w:space="0"/>
              <w:bottom w:val="single" w:color="000000" w:sz="4" w:space="0"/>
              <w:right w:val="single" w:color="000000" w:sz="4" w:space="0"/>
            </w:tcBorders>
            <w:vAlign w:val="center"/>
          </w:tcPr>
          <w:p w14:paraId="3C242AD9">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41F6FA74">
            <w:pPr>
              <w:widowControl/>
              <w:spacing w:line="360" w:lineRule="auto"/>
              <w:jc w:val="center"/>
              <w:textAlignment w:val="center"/>
              <w:rPr>
                <w:rFonts w:hint="eastAsia" w:ascii="仿宋" w:hAnsi="仿宋" w:eastAsia="仿宋" w:cs="仿宋"/>
                <w:kern w:val="0"/>
                <w:sz w:val="24"/>
                <w:highlight w:val="none"/>
                <w:lang w:bidi="ar"/>
              </w:rPr>
            </w:pPr>
          </w:p>
        </w:tc>
      </w:tr>
      <w:tr w14:paraId="4F2C3821">
        <w:tblPrEx>
          <w:tblCellMar>
            <w:top w:w="0" w:type="dxa"/>
            <w:left w:w="108" w:type="dxa"/>
            <w:bottom w:w="0" w:type="dxa"/>
            <w:right w:w="108" w:type="dxa"/>
          </w:tblCellMar>
        </w:tblPrEx>
        <w:trPr>
          <w:trHeight w:val="93"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444255FC">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8</w:t>
            </w:r>
          </w:p>
        </w:tc>
        <w:tc>
          <w:tcPr>
            <w:tcW w:w="435" w:type="pct"/>
            <w:tcBorders>
              <w:top w:val="single" w:color="000000" w:sz="4" w:space="0"/>
              <w:left w:val="single" w:color="000000" w:sz="4" w:space="0"/>
              <w:bottom w:val="single" w:color="000000" w:sz="4" w:space="0"/>
              <w:right w:val="single" w:color="000000" w:sz="4" w:space="0"/>
            </w:tcBorders>
            <w:vAlign w:val="center"/>
          </w:tcPr>
          <w:p w14:paraId="0CE4DFED">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多元数字仿真教学平台（核心产品）</w:t>
            </w:r>
          </w:p>
        </w:tc>
        <w:tc>
          <w:tcPr>
            <w:tcW w:w="2846" w:type="pct"/>
            <w:tcBorders>
              <w:top w:val="single" w:color="000000" w:sz="4" w:space="0"/>
              <w:left w:val="single" w:color="000000" w:sz="4" w:space="0"/>
              <w:bottom w:val="single" w:color="000000" w:sz="4" w:space="0"/>
              <w:right w:val="single" w:color="000000" w:sz="4" w:space="0"/>
            </w:tcBorders>
            <w:vAlign w:val="center"/>
          </w:tcPr>
          <w:p w14:paraId="0D01ADA9">
            <w:pPr>
              <w:widowControl/>
              <w:spacing w:line="360" w:lineRule="auto"/>
              <w:jc w:val="left"/>
              <w:textAlignment w:val="center"/>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bidi="ar"/>
              </w:rPr>
              <w:t>平台系统功能：</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1.平台首页可以展示服务器性能占用情况，至少包含cpu、内存、磁盘、在线人数、启动时间等信息</w:t>
            </w:r>
            <w:r>
              <w:rPr>
                <w:rFonts w:hint="eastAsia" w:ascii="仿宋" w:hAnsi="仿宋" w:eastAsia="仿宋" w:cs="仿宋"/>
                <w:kern w:val="0"/>
                <w:sz w:val="24"/>
                <w:highlight w:val="none"/>
                <w:lang w:eastAsia="zh-CN" w:bidi="ar"/>
              </w:rPr>
              <w:t>；</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2.为保证系统及账号的安全性，账号登陆界面使用验证码进行验证，验证码两分钟更新</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3.系统采用浏览器session会话的保持，默认账号过期时间30分钟，且管理员及教师账号可以看见在线的用户情况</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4.系统支持教师学生账号的批量导入并支持重置密码功能</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5.系统支持角色管理，可以为不同角色用户分配不同的菜单权限，提供功能截图。</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6.系统支持参数设置，可以修改账号的初始密码、开关验证码、密码最大错误次数及密码错误锁定时间等功能。</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7.系统支持日志管理，可以查看用户的登录情况及登录系统后的操作情况，日志里至少包含用户名、操作地址、操作地点、浏览器、操作系统等信息</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8.系统通过telnet协议与网络设备进行连接控制，并依赖websocket协议进行系统与物理机架的实时交互。</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9.系统实现一键完成物理设备的初始化，能够一键将单台设备，不同机架可选设备或全部机架的设备恢复到出厂状态或某个中间节点状态，</w:t>
            </w:r>
            <w:r>
              <w:rPr>
                <w:rFonts w:hint="eastAsia" w:ascii="仿宋" w:hAnsi="仿宋" w:eastAsia="仿宋" w:cs="仿宋"/>
                <w:b/>
                <w:bCs/>
                <w:color w:val="EE0000"/>
                <w:kern w:val="0"/>
                <w:sz w:val="24"/>
                <w:highlight w:val="none"/>
                <w:lang w:bidi="ar"/>
              </w:rPr>
              <w:t>响应文件提供加盖供应商公章的产品功能截图</w:t>
            </w:r>
            <w:r>
              <w:rPr>
                <w:rFonts w:hint="eastAsia" w:ascii="仿宋" w:hAnsi="仿宋" w:eastAsia="仿宋" w:cs="仿宋"/>
                <w:b/>
                <w:bCs/>
                <w:color w:val="EE0000"/>
                <w:kern w:val="0"/>
                <w:sz w:val="24"/>
                <w:highlight w:val="none"/>
                <w:lang w:eastAsia="zh-CN" w:bidi="ar"/>
              </w:rPr>
              <w:t>。</w:t>
            </w:r>
          </w:p>
          <w:p w14:paraId="51CBC91E">
            <w:pPr>
              <w:widowControl/>
              <w:numPr>
                <w:ilvl w:val="0"/>
                <w:numId w:val="3"/>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系统支持设备断点重连功能，当telnet链接失效时，可以点击重新链接，重新登陆网络设备，</w:t>
            </w:r>
            <w:r>
              <w:rPr>
                <w:rFonts w:hint="eastAsia" w:ascii="仿宋" w:hAnsi="仿宋" w:eastAsia="仿宋" w:cs="仿宋"/>
                <w:b/>
                <w:bCs/>
                <w:color w:val="EE0000"/>
                <w:kern w:val="0"/>
                <w:sz w:val="24"/>
                <w:highlight w:val="none"/>
                <w:lang w:bidi="ar"/>
              </w:rPr>
              <w:t>响应文件提供加盖供应商公章的产品功能截图</w:t>
            </w:r>
            <w:r>
              <w:rPr>
                <w:rFonts w:hint="eastAsia" w:ascii="仿宋" w:hAnsi="仿宋" w:eastAsia="仿宋" w:cs="仿宋"/>
                <w:b/>
                <w:bCs/>
                <w:color w:val="EE0000"/>
                <w:kern w:val="0"/>
                <w:sz w:val="24"/>
                <w:highlight w:val="none"/>
                <w:lang w:eastAsia="zh-CN" w:bidi="ar"/>
              </w:rPr>
              <w:t>。</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11.平台需兼容管理学校原有的网络实训设备，制造厂商出具相关承诺函并加盖公章</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12.系统支持敏感命令控制，防止用户删除设备系统文件等高危操作。</w:t>
            </w:r>
          </w:p>
          <w:p w14:paraId="13E68B90">
            <w:pPr>
              <w:widowControl/>
              <w:numPr>
                <w:ilvl w:val="0"/>
                <w:numId w:val="4"/>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系统支持签到功能，教师发起签到后，学生可以点击签到，支持防伪功能，一台电脑只能签到一次。</w:t>
            </w:r>
          </w:p>
          <w:p w14:paraId="56A79936">
            <w:pPr>
              <w:widowControl/>
              <w:numPr>
                <w:ilvl w:val="0"/>
                <w:numId w:val="4"/>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用户行为记录，可以查询用户的所有操作行为</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15.系统支持截图功能，且截图不放在电脑本地防止作弊</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16.系统支持访问控制，可以限制某些IP可以访问平台，某些IP不可访问平台。</w:t>
            </w:r>
          </w:p>
          <w:p w14:paraId="2B52D34B">
            <w:pPr>
              <w:widowControl/>
              <w:numPr>
                <w:ilvl w:val="0"/>
                <w:numId w:val="0"/>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17.</w:t>
            </w:r>
            <w:r>
              <w:rPr>
                <w:rFonts w:hint="eastAsia" w:ascii="仿宋" w:hAnsi="仿宋" w:eastAsia="仿宋" w:cs="仿宋"/>
                <w:kern w:val="0"/>
                <w:sz w:val="24"/>
                <w:highlight w:val="none"/>
                <w:lang w:bidi="ar"/>
              </w:rPr>
              <w:t>平台支持对网络设备批量下发配置，</w:t>
            </w:r>
            <w:r>
              <w:rPr>
                <w:rFonts w:hint="eastAsia" w:ascii="仿宋" w:hAnsi="仿宋" w:eastAsia="仿宋" w:cs="仿宋"/>
                <w:b/>
                <w:bCs/>
                <w:color w:val="EE0000"/>
                <w:kern w:val="0"/>
                <w:sz w:val="24"/>
                <w:highlight w:val="none"/>
                <w:lang w:bidi="ar"/>
              </w:rPr>
              <w:t>响应文件提供加盖供应商公章的产品功能截图</w:t>
            </w:r>
            <w:r>
              <w:rPr>
                <w:rFonts w:hint="eastAsia" w:ascii="仿宋" w:hAnsi="仿宋" w:eastAsia="仿宋" w:cs="仿宋"/>
                <w:b/>
                <w:bCs/>
                <w:color w:val="EE0000"/>
                <w:kern w:val="0"/>
                <w:sz w:val="24"/>
                <w:highlight w:val="none"/>
                <w:lang w:eastAsia="zh-CN" w:bidi="ar"/>
              </w:rPr>
              <w:t>。</w:t>
            </w:r>
          </w:p>
          <w:p w14:paraId="66F1DA09">
            <w:pPr>
              <w:widowControl/>
              <w:numPr>
                <w:ilvl w:val="0"/>
                <w:numId w:val="0"/>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18.</w:t>
            </w:r>
            <w:r>
              <w:rPr>
                <w:rFonts w:hint="eastAsia" w:ascii="仿宋" w:hAnsi="仿宋" w:eastAsia="仿宋" w:cs="仿宋"/>
                <w:kern w:val="0"/>
                <w:sz w:val="24"/>
                <w:highlight w:val="none"/>
                <w:lang w:bidi="ar"/>
              </w:rPr>
              <w:t>系统支持显示使用设备的用户名</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19.系统支持web界面一键修改设备IP</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20.支持一问一答对话式问答。</w:t>
            </w:r>
          </w:p>
          <w:p w14:paraId="75F96CDD">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21.系统响应时间≤2秒</w:t>
            </w:r>
          </w:p>
        </w:tc>
        <w:tc>
          <w:tcPr>
            <w:tcW w:w="291" w:type="pct"/>
            <w:tcBorders>
              <w:top w:val="single" w:color="000000" w:sz="4" w:space="0"/>
              <w:left w:val="single" w:color="000000" w:sz="4" w:space="0"/>
              <w:bottom w:val="single" w:color="000000" w:sz="4" w:space="0"/>
              <w:right w:val="single" w:color="000000" w:sz="4" w:space="0"/>
            </w:tcBorders>
            <w:vAlign w:val="center"/>
          </w:tcPr>
          <w:p w14:paraId="225C8BFA">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w:t>
            </w:r>
          </w:p>
        </w:tc>
        <w:tc>
          <w:tcPr>
            <w:tcW w:w="268" w:type="pct"/>
            <w:tcBorders>
              <w:top w:val="single" w:color="000000" w:sz="4" w:space="0"/>
              <w:left w:val="single" w:color="000000" w:sz="4" w:space="0"/>
              <w:bottom w:val="single" w:color="000000" w:sz="4" w:space="0"/>
              <w:right w:val="single" w:color="000000" w:sz="4" w:space="0"/>
            </w:tcBorders>
            <w:vAlign w:val="center"/>
          </w:tcPr>
          <w:p w14:paraId="415D8CC0">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633C299A">
            <w:pPr>
              <w:widowControl/>
              <w:spacing w:line="360" w:lineRule="auto"/>
              <w:jc w:val="center"/>
              <w:textAlignment w:val="center"/>
              <w:rPr>
                <w:rFonts w:hint="eastAsia" w:ascii="仿宋" w:hAnsi="仿宋" w:eastAsia="仿宋" w:cs="仿宋"/>
                <w:kern w:val="0"/>
                <w:sz w:val="24"/>
                <w:highlight w:val="none"/>
                <w:lang w:bidi="ar"/>
              </w:rPr>
            </w:pPr>
          </w:p>
        </w:tc>
      </w:tr>
      <w:tr w14:paraId="0C56F7F7">
        <w:tblPrEx>
          <w:tblCellMar>
            <w:top w:w="0" w:type="dxa"/>
            <w:left w:w="108" w:type="dxa"/>
            <w:bottom w:w="0" w:type="dxa"/>
            <w:right w:w="108" w:type="dxa"/>
          </w:tblCellMar>
        </w:tblPrEx>
        <w:trPr>
          <w:trHeight w:val="90"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2A48EFC9">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9</w:t>
            </w:r>
          </w:p>
        </w:tc>
        <w:tc>
          <w:tcPr>
            <w:tcW w:w="435" w:type="pct"/>
            <w:tcBorders>
              <w:top w:val="single" w:color="000000" w:sz="4" w:space="0"/>
              <w:left w:val="single" w:color="000000" w:sz="4" w:space="0"/>
              <w:bottom w:val="single" w:color="000000" w:sz="4" w:space="0"/>
              <w:right w:val="single" w:color="000000" w:sz="4" w:space="0"/>
            </w:tcBorders>
            <w:vAlign w:val="center"/>
          </w:tcPr>
          <w:p w14:paraId="75C98A6C">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教学管理实训系统（核心产品）</w:t>
            </w:r>
          </w:p>
        </w:tc>
        <w:tc>
          <w:tcPr>
            <w:tcW w:w="2846" w:type="pct"/>
            <w:tcBorders>
              <w:top w:val="single" w:color="000000" w:sz="4" w:space="0"/>
              <w:left w:val="single" w:color="000000" w:sz="4" w:space="0"/>
              <w:bottom w:val="single" w:color="000000" w:sz="4" w:space="0"/>
              <w:right w:val="single" w:color="000000" w:sz="4" w:space="0"/>
            </w:tcBorders>
            <w:vAlign w:val="center"/>
          </w:tcPr>
          <w:p w14:paraId="21EAC415">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1.为满足日常定制化授课场景，系统支持自定义课程资源，支持上传pdf、docx及mp4格式的文件</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2.教学系统的逻辑为教学资源-教学章节-教学课件包含关系</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3.为清晰的观看课程资源、课程资源默认按添加时间顺序排列，也可按照数字-字母-汉字的逻辑排序</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4.所有的课程资源支持在线预览</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5.管理员与教师端可以创建课程计划，只有在课程计划时间内，学生才可以看见相关课件，</w:t>
            </w:r>
            <w:r>
              <w:rPr>
                <w:rFonts w:hint="eastAsia" w:ascii="仿宋" w:hAnsi="仿宋" w:eastAsia="仿宋" w:cs="仿宋"/>
                <w:b/>
                <w:bCs/>
                <w:color w:val="EE0000"/>
                <w:kern w:val="0"/>
                <w:sz w:val="24"/>
                <w:highlight w:val="none"/>
                <w:lang w:bidi="ar"/>
              </w:rPr>
              <w:t>响应文件提供加盖供应商公章的产品功能截图</w:t>
            </w:r>
            <w:r>
              <w:rPr>
                <w:rFonts w:hint="eastAsia" w:ascii="仿宋" w:hAnsi="仿宋" w:eastAsia="仿宋" w:cs="仿宋"/>
                <w:b/>
                <w:bCs/>
                <w:color w:val="EE0000"/>
                <w:kern w:val="0"/>
                <w:sz w:val="24"/>
                <w:highlight w:val="none"/>
                <w:lang w:eastAsia="zh-CN" w:bidi="ar"/>
              </w:rPr>
              <w:t>。</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6.课程计划支持复制</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7.在理论及视频课程中，教师学生支持创建课程笔记，同时可以对笔记进行导出，</w:t>
            </w:r>
            <w:r>
              <w:rPr>
                <w:rFonts w:hint="eastAsia" w:ascii="仿宋" w:hAnsi="仿宋" w:eastAsia="仿宋" w:cs="仿宋"/>
                <w:b/>
                <w:bCs/>
                <w:color w:val="EE0000"/>
                <w:kern w:val="0"/>
                <w:sz w:val="24"/>
                <w:highlight w:val="none"/>
                <w:lang w:bidi="ar"/>
              </w:rPr>
              <w:t>响应文件提供加盖供应商公章的产品功能截图</w:t>
            </w:r>
            <w:r>
              <w:rPr>
                <w:rFonts w:hint="eastAsia" w:ascii="仿宋" w:hAnsi="仿宋" w:eastAsia="仿宋" w:cs="仿宋"/>
                <w:b/>
                <w:bCs/>
                <w:color w:val="EE0000"/>
                <w:kern w:val="0"/>
                <w:sz w:val="24"/>
                <w:highlight w:val="none"/>
                <w:lang w:eastAsia="zh-CN" w:bidi="ar"/>
              </w:rPr>
              <w:t>。</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8.系统支持联动三方网络模拟器，完成学生的日常教学，</w:t>
            </w:r>
            <w:r>
              <w:rPr>
                <w:rFonts w:hint="eastAsia" w:ascii="仿宋" w:hAnsi="仿宋" w:eastAsia="仿宋" w:cs="仿宋"/>
                <w:b/>
                <w:bCs/>
                <w:color w:val="EE0000"/>
                <w:kern w:val="0"/>
                <w:sz w:val="24"/>
                <w:highlight w:val="none"/>
                <w:lang w:bidi="ar"/>
              </w:rPr>
              <w:t>响应文件提供加盖供应商公章的产品功能截图</w:t>
            </w:r>
            <w:r>
              <w:rPr>
                <w:rFonts w:hint="eastAsia" w:ascii="仿宋" w:hAnsi="仿宋" w:eastAsia="仿宋" w:cs="仿宋"/>
                <w:b/>
                <w:bCs/>
                <w:color w:val="EE0000"/>
                <w:kern w:val="0"/>
                <w:sz w:val="24"/>
                <w:highlight w:val="none"/>
                <w:lang w:eastAsia="zh-CN" w:bidi="ar"/>
              </w:rPr>
              <w:t>。</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9.包含三方模拟器的服务部署服务，教师可以通过三方模拟器查看学生的实验情况，提供功能截图</w:t>
            </w:r>
          </w:p>
        </w:tc>
        <w:tc>
          <w:tcPr>
            <w:tcW w:w="291" w:type="pct"/>
            <w:tcBorders>
              <w:top w:val="single" w:color="000000" w:sz="4" w:space="0"/>
              <w:left w:val="single" w:color="000000" w:sz="4" w:space="0"/>
              <w:bottom w:val="single" w:color="000000" w:sz="4" w:space="0"/>
              <w:right w:val="single" w:color="000000" w:sz="4" w:space="0"/>
            </w:tcBorders>
            <w:vAlign w:val="center"/>
          </w:tcPr>
          <w:p w14:paraId="2011DCBA">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w:t>
            </w:r>
          </w:p>
        </w:tc>
        <w:tc>
          <w:tcPr>
            <w:tcW w:w="268" w:type="pct"/>
            <w:tcBorders>
              <w:top w:val="single" w:color="000000" w:sz="4" w:space="0"/>
              <w:left w:val="single" w:color="000000" w:sz="4" w:space="0"/>
              <w:bottom w:val="single" w:color="000000" w:sz="4" w:space="0"/>
              <w:right w:val="single" w:color="000000" w:sz="4" w:space="0"/>
            </w:tcBorders>
            <w:vAlign w:val="center"/>
          </w:tcPr>
          <w:p w14:paraId="602C3C47">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696D5070">
            <w:pPr>
              <w:widowControl/>
              <w:spacing w:line="360" w:lineRule="auto"/>
              <w:jc w:val="center"/>
              <w:textAlignment w:val="center"/>
              <w:rPr>
                <w:rFonts w:hint="eastAsia" w:ascii="仿宋" w:hAnsi="仿宋" w:eastAsia="仿宋" w:cs="仿宋"/>
                <w:kern w:val="0"/>
                <w:sz w:val="24"/>
                <w:highlight w:val="none"/>
                <w:lang w:bidi="ar"/>
              </w:rPr>
            </w:pPr>
          </w:p>
        </w:tc>
      </w:tr>
      <w:tr w14:paraId="5DC121A3">
        <w:tblPrEx>
          <w:tblCellMar>
            <w:top w:w="0" w:type="dxa"/>
            <w:left w:w="108" w:type="dxa"/>
            <w:bottom w:w="0" w:type="dxa"/>
            <w:right w:w="108" w:type="dxa"/>
          </w:tblCellMar>
        </w:tblPrEx>
        <w:trPr>
          <w:trHeight w:val="90"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052410A7">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w:t>
            </w:r>
          </w:p>
        </w:tc>
        <w:tc>
          <w:tcPr>
            <w:tcW w:w="435" w:type="pct"/>
            <w:tcBorders>
              <w:top w:val="single" w:color="000000" w:sz="4" w:space="0"/>
              <w:left w:val="single" w:color="000000" w:sz="4" w:space="0"/>
              <w:bottom w:val="single" w:color="000000" w:sz="4" w:space="0"/>
              <w:right w:val="single" w:color="000000" w:sz="4" w:space="0"/>
            </w:tcBorders>
            <w:vAlign w:val="center"/>
          </w:tcPr>
          <w:p w14:paraId="3A5EBC6E">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Cs w:val="21"/>
                <w:highlight w:val="none"/>
                <w:lang w:bidi="ar"/>
              </w:rPr>
              <w:t>交换路由教学授权点</w:t>
            </w:r>
          </w:p>
        </w:tc>
        <w:tc>
          <w:tcPr>
            <w:tcW w:w="2846" w:type="pct"/>
            <w:tcBorders>
              <w:top w:val="single" w:color="000000" w:sz="4" w:space="0"/>
              <w:left w:val="single" w:color="000000" w:sz="4" w:space="0"/>
              <w:bottom w:val="single" w:color="000000" w:sz="4" w:space="0"/>
              <w:right w:val="single" w:color="000000" w:sz="4" w:space="0"/>
            </w:tcBorders>
            <w:vAlign w:val="center"/>
          </w:tcPr>
          <w:p w14:paraId="44972CFF">
            <w:pPr>
              <w:widowControl/>
              <w:numPr>
                <w:ilvl w:val="0"/>
                <w:numId w:val="0"/>
              </w:numPr>
              <w:spacing w:line="360" w:lineRule="auto"/>
              <w:jc w:val="left"/>
              <w:textAlignment w:val="center"/>
              <w:rPr>
                <w:rFonts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1.</w:t>
            </w:r>
            <w:r>
              <w:rPr>
                <w:rFonts w:ascii="仿宋" w:hAnsi="仿宋" w:eastAsia="仿宋" w:cs="仿宋"/>
                <w:kern w:val="0"/>
                <w:sz w:val="24"/>
                <w:highlight w:val="none"/>
                <w:lang w:bidi="ar"/>
              </w:rPr>
              <w:t>实验文档必须含拓扑图、配置命令、验证步骤等。</w:t>
            </w:r>
          </w:p>
          <w:p w14:paraId="138EEFBF">
            <w:pPr>
              <w:widowControl/>
              <w:numPr>
                <w:ilvl w:val="0"/>
                <w:numId w:val="0"/>
              </w:numPr>
              <w:spacing w:line="360" w:lineRule="auto"/>
              <w:jc w:val="left"/>
              <w:textAlignment w:val="center"/>
              <w:rPr>
                <w:rFonts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2.</w:t>
            </w:r>
            <w:r>
              <w:rPr>
                <w:rFonts w:ascii="仿宋" w:hAnsi="仿宋" w:eastAsia="仿宋" w:cs="仿宋"/>
                <w:kern w:val="0"/>
                <w:sz w:val="24"/>
                <w:highlight w:val="none"/>
                <w:lang w:bidi="ar"/>
              </w:rPr>
              <w:t>覆盖网络基础、交换、路由、VPN、组网冗余全系列网络技术。</w:t>
            </w:r>
          </w:p>
          <w:p w14:paraId="2F13539A">
            <w:pPr>
              <w:widowControl/>
              <w:numPr>
                <w:ilvl w:val="0"/>
                <w:numId w:val="0"/>
              </w:numPr>
              <w:spacing w:line="360" w:lineRule="auto"/>
              <w:jc w:val="left"/>
              <w:textAlignment w:val="center"/>
              <w:rPr>
                <w:rFonts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3.</w:t>
            </w:r>
            <w:r>
              <w:rPr>
                <w:rFonts w:ascii="仿宋" w:hAnsi="仿宋" w:eastAsia="仿宋" w:cs="仿宋"/>
                <w:kern w:val="0"/>
                <w:sz w:val="24"/>
                <w:highlight w:val="none"/>
                <w:lang w:bidi="ar"/>
              </w:rPr>
              <w:t>包含静态路由、OSPF、BGP、NAT、MSTP、VRRP、IPSEC 等主流技术实验。</w:t>
            </w:r>
          </w:p>
          <w:p w14:paraId="63DD07A2">
            <w:pPr>
              <w:widowControl/>
              <w:numPr>
                <w:ilvl w:val="0"/>
                <w:numId w:val="0"/>
              </w:numPr>
              <w:spacing w:line="360" w:lineRule="auto"/>
              <w:jc w:val="left"/>
              <w:textAlignment w:val="center"/>
              <w:rPr>
                <w:rFonts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4.</w:t>
            </w:r>
            <w:r>
              <w:rPr>
                <w:rFonts w:ascii="仿宋" w:hAnsi="仿宋" w:eastAsia="仿宋" w:cs="仿宋"/>
                <w:kern w:val="0"/>
                <w:sz w:val="24"/>
                <w:highlight w:val="none"/>
                <w:lang w:bidi="ar"/>
              </w:rPr>
              <w:t>文档内容适配院校 ICT 实训、课堂授课、技能考核场景使用。</w:t>
            </w:r>
          </w:p>
          <w:p w14:paraId="2E377440">
            <w:pPr>
              <w:widowControl/>
              <w:spacing w:line="360" w:lineRule="auto"/>
              <w:jc w:val="left"/>
              <w:textAlignment w:val="center"/>
              <w:rPr>
                <w:rFonts w:hint="eastAsia" w:ascii="仿宋" w:hAnsi="仿宋" w:eastAsia="仿宋" w:cs="仿宋"/>
                <w:kern w:val="0"/>
                <w:sz w:val="24"/>
                <w:highlight w:val="none"/>
                <w:lang w:bidi="ar"/>
              </w:rPr>
            </w:pPr>
            <w:r>
              <w:rPr>
                <w:rFonts w:ascii="仿宋" w:hAnsi="仿宋" w:eastAsia="仿宋" w:cs="仿宋"/>
                <w:kern w:val="0"/>
                <w:sz w:val="24"/>
                <w:highlight w:val="none"/>
                <w:lang w:bidi="ar"/>
              </w:rPr>
              <w:t>所有实验配置命令适配国内主流交换机、路由器设备，无小众私有指令</w:t>
            </w:r>
          </w:p>
        </w:tc>
        <w:tc>
          <w:tcPr>
            <w:tcW w:w="291" w:type="pct"/>
            <w:tcBorders>
              <w:top w:val="single" w:color="000000" w:sz="4" w:space="0"/>
              <w:left w:val="single" w:color="000000" w:sz="4" w:space="0"/>
              <w:bottom w:val="single" w:color="000000" w:sz="4" w:space="0"/>
              <w:right w:val="single" w:color="000000" w:sz="4" w:space="0"/>
            </w:tcBorders>
            <w:vAlign w:val="center"/>
          </w:tcPr>
          <w:p w14:paraId="444F31EF">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100</w:t>
            </w:r>
          </w:p>
        </w:tc>
        <w:tc>
          <w:tcPr>
            <w:tcW w:w="268" w:type="pct"/>
            <w:tcBorders>
              <w:top w:val="single" w:color="000000" w:sz="4" w:space="0"/>
              <w:left w:val="single" w:color="000000" w:sz="4" w:space="0"/>
              <w:bottom w:val="single" w:color="000000" w:sz="4" w:space="0"/>
              <w:right w:val="single" w:color="000000" w:sz="4" w:space="0"/>
            </w:tcBorders>
            <w:vAlign w:val="center"/>
          </w:tcPr>
          <w:p w14:paraId="7D049108">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711E53CB">
            <w:pPr>
              <w:widowControl/>
              <w:spacing w:line="360" w:lineRule="auto"/>
              <w:jc w:val="center"/>
              <w:textAlignment w:val="center"/>
              <w:rPr>
                <w:rFonts w:hint="eastAsia" w:ascii="仿宋" w:hAnsi="仿宋" w:eastAsia="仿宋" w:cs="仿宋"/>
                <w:kern w:val="0"/>
                <w:sz w:val="24"/>
                <w:highlight w:val="none"/>
                <w:lang w:bidi="ar"/>
              </w:rPr>
            </w:pPr>
          </w:p>
        </w:tc>
      </w:tr>
      <w:tr w14:paraId="33567566">
        <w:tblPrEx>
          <w:tblCellMar>
            <w:top w:w="0" w:type="dxa"/>
            <w:left w:w="108" w:type="dxa"/>
            <w:bottom w:w="0" w:type="dxa"/>
            <w:right w:w="108" w:type="dxa"/>
          </w:tblCellMar>
        </w:tblPrEx>
        <w:trPr>
          <w:trHeight w:val="90"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4B1CEE68">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11</w:t>
            </w:r>
          </w:p>
        </w:tc>
        <w:tc>
          <w:tcPr>
            <w:tcW w:w="435" w:type="pct"/>
            <w:tcBorders>
              <w:top w:val="single" w:color="000000" w:sz="4" w:space="0"/>
              <w:left w:val="single" w:color="000000" w:sz="4" w:space="0"/>
              <w:bottom w:val="single" w:color="000000" w:sz="4" w:space="0"/>
              <w:right w:val="single" w:color="000000" w:sz="4" w:space="0"/>
            </w:tcBorders>
            <w:vAlign w:val="center"/>
          </w:tcPr>
          <w:p w14:paraId="7173CC6A">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无线教学授权点</w:t>
            </w:r>
          </w:p>
        </w:tc>
        <w:tc>
          <w:tcPr>
            <w:tcW w:w="2846" w:type="pct"/>
            <w:tcBorders>
              <w:top w:val="single" w:color="000000" w:sz="4" w:space="0"/>
              <w:left w:val="single" w:color="000000" w:sz="4" w:space="0"/>
              <w:bottom w:val="single" w:color="000000" w:sz="4" w:space="0"/>
              <w:right w:val="single" w:color="000000" w:sz="4" w:space="0"/>
            </w:tcBorders>
            <w:vAlign w:val="center"/>
          </w:tcPr>
          <w:p w14:paraId="38D4469F">
            <w:pPr>
              <w:widowControl/>
              <w:numPr>
                <w:ilvl w:val="0"/>
                <w:numId w:val="0"/>
              </w:numPr>
              <w:spacing w:line="360" w:lineRule="auto"/>
              <w:jc w:val="left"/>
              <w:textAlignment w:val="center"/>
              <w:rPr>
                <w:rFonts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1.</w:t>
            </w:r>
            <w:r>
              <w:rPr>
                <w:rFonts w:ascii="仿宋" w:hAnsi="仿宋" w:eastAsia="仿宋" w:cs="仿宋"/>
                <w:kern w:val="0"/>
                <w:sz w:val="24"/>
                <w:highlight w:val="none"/>
                <w:lang w:bidi="ar"/>
              </w:rPr>
              <w:t>资源覆盖无线基础、AP 模式、AC 组网、无线漫游、认证、勘测、优化安全全体系 WLAN 技术。</w:t>
            </w:r>
          </w:p>
          <w:p w14:paraId="1E82B1E3">
            <w:pPr>
              <w:widowControl/>
              <w:numPr>
                <w:ilvl w:val="0"/>
                <w:numId w:val="0"/>
              </w:numPr>
              <w:spacing w:line="360" w:lineRule="auto"/>
              <w:jc w:val="left"/>
              <w:textAlignment w:val="center"/>
              <w:rPr>
                <w:rFonts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2.</w:t>
            </w:r>
            <w:r>
              <w:rPr>
                <w:rFonts w:ascii="仿宋" w:hAnsi="仿宋" w:eastAsia="仿宋" w:cs="仿宋"/>
                <w:kern w:val="0"/>
                <w:sz w:val="24"/>
                <w:highlight w:val="none"/>
                <w:lang w:bidi="ar"/>
              </w:rPr>
              <w:t>实验文档包含组网拓扑、配置命令、验证步骤。</w:t>
            </w:r>
          </w:p>
          <w:p w14:paraId="63F4C6CC">
            <w:pPr>
              <w:widowControl/>
              <w:numPr>
                <w:ilvl w:val="0"/>
                <w:numId w:val="0"/>
              </w:numPr>
              <w:spacing w:line="360" w:lineRule="auto"/>
              <w:jc w:val="left"/>
              <w:textAlignment w:val="center"/>
              <w:rPr>
                <w:rFonts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3.</w:t>
            </w:r>
            <w:r>
              <w:rPr>
                <w:rFonts w:ascii="仿宋" w:hAnsi="仿宋" w:eastAsia="仿宋" w:cs="仿宋"/>
                <w:kern w:val="0"/>
                <w:sz w:val="24"/>
                <w:highlight w:val="none"/>
                <w:lang w:bidi="ar"/>
              </w:rPr>
              <w:t>内容涵盖 FAT/FIT AP、AC冗余、漫游、认证、射频优化等主流技术。</w:t>
            </w:r>
          </w:p>
          <w:p w14:paraId="439E1597">
            <w:pPr>
              <w:widowControl/>
              <w:numPr>
                <w:ilvl w:val="0"/>
                <w:numId w:val="0"/>
              </w:numPr>
              <w:spacing w:line="360" w:lineRule="auto"/>
              <w:jc w:val="left"/>
              <w:textAlignment w:val="center"/>
              <w:rPr>
                <w:rFonts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4.</w:t>
            </w:r>
            <w:r>
              <w:rPr>
                <w:rFonts w:ascii="仿宋" w:hAnsi="仿宋" w:eastAsia="仿宋" w:cs="仿宋"/>
                <w:kern w:val="0"/>
                <w:sz w:val="24"/>
                <w:highlight w:val="none"/>
                <w:lang w:bidi="ar"/>
              </w:rPr>
              <w:t>包含无线勘测专项内容，配套勘测原则、风险评估、勘测软件操作教学文档。</w:t>
            </w:r>
          </w:p>
          <w:p w14:paraId="343CEF87">
            <w:pPr>
              <w:widowControl/>
              <w:spacing w:line="360" w:lineRule="auto"/>
              <w:jc w:val="left"/>
              <w:textAlignment w:val="center"/>
              <w:rPr>
                <w:rFonts w:hint="eastAsia" w:ascii="仿宋" w:hAnsi="仿宋" w:eastAsia="仿宋" w:cs="仿宋"/>
                <w:kern w:val="0"/>
                <w:sz w:val="24"/>
                <w:highlight w:val="none"/>
                <w:lang w:bidi="ar"/>
              </w:rPr>
            </w:pPr>
            <w:r>
              <w:rPr>
                <w:rFonts w:ascii="仿宋" w:hAnsi="仿宋" w:eastAsia="仿宋" w:cs="仿宋"/>
                <w:kern w:val="0"/>
                <w:sz w:val="24"/>
                <w:highlight w:val="none"/>
                <w:lang w:bidi="ar"/>
              </w:rPr>
              <w:t>适配主流国产网络设备命令行，实训配置指令通用，无私有小众命令</w:t>
            </w:r>
          </w:p>
        </w:tc>
        <w:tc>
          <w:tcPr>
            <w:tcW w:w="291" w:type="pct"/>
            <w:tcBorders>
              <w:top w:val="single" w:color="000000" w:sz="4" w:space="0"/>
              <w:left w:val="single" w:color="000000" w:sz="4" w:space="0"/>
              <w:bottom w:val="single" w:color="000000" w:sz="4" w:space="0"/>
              <w:right w:val="single" w:color="000000" w:sz="4" w:space="0"/>
            </w:tcBorders>
            <w:vAlign w:val="center"/>
          </w:tcPr>
          <w:p w14:paraId="75433BFE">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100</w:t>
            </w:r>
          </w:p>
        </w:tc>
        <w:tc>
          <w:tcPr>
            <w:tcW w:w="268" w:type="pct"/>
            <w:tcBorders>
              <w:top w:val="single" w:color="000000" w:sz="4" w:space="0"/>
              <w:left w:val="single" w:color="000000" w:sz="4" w:space="0"/>
              <w:bottom w:val="single" w:color="000000" w:sz="4" w:space="0"/>
              <w:right w:val="single" w:color="000000" w:sz="4" w:space="0"/>
            </w:tcBorders>
            <w:vAlign w:val="center"/>
          </w:tcPr>
          <w:p w14:paraId="7247DEB2">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102D1958">
            <w:pPr>
              <w:widowControl/>
              <w:spacing w:line="360" w:lineRule="auto"/>
              <w:jc w:val="center"/>
              <w:textAlignment w:val="center"/>
              <w:rPr>
                <w:rFonts w:hint="eastAsia" w:ascii="仿宋" w:hAnsi="仿宋" w:eastAsia="仿宋" w:cs="仿宋"/>
                <w:kern w:val="0"/>
                <w:sz w:val="24"/>
                <w:highlight w:val="none"/>
                <w:lang w:bidi="ar"/>
              </w:rPr>
            </w:pPr>
          </w:p>
        </w:tc>
      </w:tr>
      <w:tr w14:paraId="04FD7BD0">
        <w:tblPrEx>
          <w:tblCellMar>
            <w:top w:w="0" w:type="dxa"/>
            <w:left w:w="108" w:type="dxa"/>
            <w:bottom w:w="0" w:type="dxa"/>
            <w:right w:w="108" w:type="dxa"/>
          </w:tblCellMar>
        </w:tblPrEx>
        <w:trPr>
          <w:trHeight w:val="95"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273C2FAF">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12</w:t>
            </w:r>
          </w:p>
        </w:tc>
        <w:tc>
          <w:tcPr>
            <w:tcW w:w="435" w:type="pct"/>
            <w:tcBorders>
              <w:top w:val="single" w:color="000000" w:sz="4" w:space="0"/>
              <w:left w:val="single" w:color="000000" w:sz="4" w:space="0"/>
              <w:bottom w:val="single" w:color="000000" w:sz="4" w:space="0"/>
              <w:right w:val="single" w:color="000000" w:sz="4" w:space="0"/>
            </w:tcBorders>
            <w:vAlign w:val="center"/>
          </w:tcPr>
          <w:p w14:paraId="13FFAD93">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网络安全教学授权点</w:t>
            </w:r>
          </w:p>
        </w:tc>
        <w:tc>
          <w:tcPr>
            <w:tcW w:w="2846" w:type="pct"/>
            <w:tcBorders>
              <w:top w:val="single" w:color="000000" w:sz="4" w:space="0"/>
              <w:left w:val="single" w:color="000000" w:sz="4" w:space="0"/>
              <w:bottom w:val="single" w:color="000000" w:sz="4" w:space="0"/>
              <w:right w:val="single" w:color="000000" w:sz="4" w:space="0"/>
            </w:tcBorders>
            <w:vAlign w:val="center"/>
          </w:tcPr>
          <w:p w14:paraId="2E1A1AC8">
            <w:pPr>
              <w:widowControl/>
              <w:numPr>
                <w:ilvl w:val="0"/>
                <w:numId w:val="0"/>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1.</w:t>
            </w:r>
            <w:r>
              <w:rPr>
                <w:rFonts w:hint="eastAsia" w:ascii="仿宋" w:hAnsi="仿宋" w:eastAsia="仿宋" w:cs="仿宋"/>
                <w:kern w:val="0"/>
                <w:sz w:val="24"/>
                <w:highlight w:val="none"/>
                <w:lang w:bidi="ar"/>
              </w:rPr>
              <w:t>包含VPN、链路探测、路由、VRRP、负载均衡等组网实训。</w:t>
            </w:r>
          </w:p>
          <w:p w14:paraId="1BF0AB7E">
            <w:pPr>
              <w:widowControl/>
              <w:numPr>
                <w:ilvl w:val="0"/>
                <w:numId w:val="0"/>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2.</w:t>
            </w:r>
            <w:r>
              <w:rPr>
                <w:rFonts w:hint="eastAsia" w:ascii="仿宋" w:hAnsi="仿宋" w:eastAsia="仿宋" w:cs="仿宋"/>
                <w:kern w:val="0"/>
                <w:sz w:val="24"/>
                <w:highlight w:val="none"/>
                <w:lang w:bidi="ar"/>
              </w:rPr>
              <w:t>提供 VRRP、HA 双机热备高可用冗余部署实训，满足防火墙集群教学需求。</w:t>
            </w:r>
          </w:p>
          <w:p w14:paraId="014F4299">
            <w:pPr>
              <w:widowControl/>
              <w:numPr>
                <w:ilvl w:val="0"/>
                <w:numId w:val="0"/>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3.</w:t>
            </w:r>
            <w:r>
              <w:rPr>
                <w:rFonts w:hint="eastAsia" w:ascii="仿宋" w:hAnsi="仿宋" w:eastAsia="仿宋" w:cs="仿宋"/>
                <w:kern w:val="0"/>
                <w:sz w:val="24"/>
                <w:highlight w:val="none"/>
                <w:lang w:bidi="ar"/>
              </w:rPr>
              <w:t>所有实训文档命令行适配主流防火墙设备，步骤标准化，可直接上机实操</w:t>
            </w:r>
          </w:p>
          <w:p w14:paraId="3FBA0C58">
            <w:pPr>
              <w:widowControl/>
              <w:numPr>
                <w:ilvl w:val="0"/>
                <w:numId w:val="0"/>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4.</w:t>
            </w:r>
            <w:r>
              <w:rPr>
                <w:rFonts w:hint="eastAsia" w:ascii="仿宋" w:hAnsi="仿宋" w:eastAsia="仿宋" w:cs="仿宋"/>
                <w:kern w:val="0"/>
                <w:sz w:val="24"/>
                <w:highlight w:val="none"/>
                <w:lang w:bidi="ar"/>
              </w:rPr>
              <w:t>文档内置高清组网拓扑图，矢量无模糊，适配教室投影、大屏课堂展示</w:t>
            </w:r>
          </w:p>
          <w:p w14:paraId="18172EFF">
            <w:pPr>
              <w:widowControl/>
              <w:numPr>
                <w:ilvl w:val="0"/>
                <w:numId w:val="0"/>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5.</w:t>
            </w:r>
            <w:r>
              <w:rPr>
                <w:rFonts w:hint="eastAsia" w:ascii="仿宋" w:hAnsi="仿宋" w:eastAsia="仿宋" w:cs="仿宋"/>
                <w:kern w:val="0"/>
                <w:sz w:val="24"/>
                <w:highlight w:val="none"/>
                <w:lang w:bidi="ar"/>
              </w:rPr>
              <w:t>包含 DDoS 攻击防御专项实训，覆盖流量限流、异常数据包拦截配置教程</w:t>
            </w:r>
          </w:p>
          <w:p w14:paraId="629CC4BF">
            <w:pPr>
              <w:widowControl/>
              <w:numPr>
                <w:ilvl w:val="0"/>
                <w:numId w:val="0"/>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6.</w:t>
            </w:r>
            <w:r>
              <w:rPr>
                <w:rFonts w:hint="eastAsia" w:ascii="仿宋" w:hAnsi="仿宋" w:eastAsia="仿宋" w:cs="仿宋"/>
                <w:kern w:val="0"/>
                <w:sz w:val="24"/>
                <w:highlight w:val="none"/>
                <w:lang w:bidi="ar"/>
              </w:rPr>
              <w:t>内置 URL 分类过滤、网页关键字过滤、邮件内容审计完整操作流程</w:t>
            </w:r>
          </w:p>
          <w:p w14:paraId="5C0DC83D">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7</w:t>
            </w:r>
            <w:r>
              <w:rPr>
                <w:rFonts w:hint="eastAsia" w:ascii="仿宋" w:hAnsi="仿宋" w:eastAsia="仿宋" w:cs="仿宋"/>
                <w:kern w:val="0"/>
                <w:sz w:val="24"/>
                <w:highlight w:val="none"/>
                <w:lang w:bidi="ar"/>
              </w:rPr>
              <w:t>.windows操作系统安全配置课程实验视频内容包括系统安装、网络环境部署、域控制器安装及加入域、LAN路由服务、dhcp服务、域相关组策略服务、DNS服务、NAT地址转换、raid5服务、iSC</w:t>
            </w:r>
            <w:r>
              <w:rPr>
                <w:rFonts w:ascii="仿宋" w:hAnsi="仿宋" w:eastAsia="仿宋" w:cs="仿宋"/>
                <w:kern w:val="0"/>
                <w:sz w:val="24"/>
                <w:highlight w:val="none"/>
                <w:lang w:bidi="ar"/>
              </w:rPr>
              <w:t>SI</w:t>
            </w:r>
            <w:r>
              <w:rPr>
                <w:rFonts w:hint="eastAsia" w:ascii="仿宋" w:hAnsi="仿宋" w:eastAsia="仿宋" w:cs="仿宋"/>
                <w:kern w:val="0"/>
                <w:sz w:val="24"/>
                <w:highlight w:val="none"/>
                <w:lang w:bidi="ar"/>
              </w:rPr>
              <w:t>服务、DFS服务、用户漫游文件、web</w:t>
            </w:r>
            <w:r>
              <w:rPr>
                <w:rFonts w:ascii="仿宋" w:hAnsi="仿宋" w:eastAsia="仿宋" w:cs="仿宋"/>
                <w:kern w:val="0"/>
                <w:sz w:val="24"/>
                <w:highlight w:val="none"/>
                <w:lang w:bidi="ar"/>
              </w:rPr>
              <w:t xml:space="preserve"> </w:t>
            </w:r>
            <w:r>
              <w:rPr>
                <w:rFonts w:hint="eastAsia" w:ascii="仿宋" w:hAnsi="仿宋" w:eastAsia="仿宋" w:cs="仿宋"/>
                <w:kern w:val="0"/>
                <w:sz w:val="24"/>
                <w:highlight w:val="none"/>
                <w:lang w:bidi="ar"/>
              </w:rPr>
              <w:t>print服务、IIS</w:t>
            </w:r>
            <w:r>
              <w:rPr>
                <w:rFonts w:ascii="仿宋" w:hAnsi="仿宋" w:eastAsia="仿宋" w:cs="仿宋"/>
                <w:kern w:val="0"/>
                <w:sz w:val="24"/>
                <w:highlight w:val="none"/>
                <w:lang w:bidi="ar"/>
              </w:rPr>
              <w:t xml:space="preserve"> </w:t>
            </w:r>
            <w:r>
              <w:rPr>
                <w:rFonts w:hint="eastAsia" w:ascii="仿宋" w:hAnsi="仿宋" w:eastAsia="仿宋" w:cs="仿宋"/>
                <w:kern w:val="0"/>
                <w:sz w:val="24"/>
                <w:highlight w:val="none"/>
                <w:lang w:bidi="ar"/>
              </w:rPr>
              <w:t>web站点部署、ftp服务</w:t>
            </w:r>
            <w:r>
              <w:rPr>
                <w:rFonts w:ascii="仿宋" w:hAnsi="仿宋" w:eastAsia="仿宋" w:cs="仿宋"/>
                <w:kern w:val="0"/>
                <w:sz w:val="24"/>
                <w:highlight w:val="none"/>
                <w:lang w:bidi="ar"/>
              </w:rPr>
              <w:t>、</w:t>
            </w:r>
            <w:r>
              <w:rPr>
                <w:rFonts w:hint="eastAsia" w:ascii="仿宋" w:hAnsi="仿宋" w:eastAsia="仿宋" w:cs="仿宋"/>
                <w:kern w:val="0"/>
                <w:sz w:val="24"/>
                <w:highlight w:val="none"/>
                <w:lang w:bidi="ar"/>
              </w:rPr>
              <w:t>NCSI服务、PPTP</w:t>
            </w:r>
            <w:r>
              <w:rPr>
                <w:rFonts w:ascii="仿宋" w:hAnsi="仿宋" w:eastAsia="仿宋" w:cs="仿宋"/>
                <w:kern w:val="0"/>
                <w:sz w:val="24"/>
                <w:highlight w:val="none"/>
                <w:lang w:bidi="ar"/>
              </w:rPr>
              <w:t xml:space="preserve"> </w:t>
            </w:r>
            <w:r>
              <w:rPr>
                <w:rFonts w:hint="eastAsia" w:ascii="仿宋" w:hAnsi="仿宋" w:eastAsia="仿宋" w:cs="仿宋"/>
                <w:kern w:val="0"/>
                <w:sz w:val="24"/>
                <w:highlight w:val="none"/>
                <w:lang w:bidi="ar"/>
              </w:rPr>
              <w:t>VPN对接NPS、l2tp</w:t>
            </w:r>
            <w:r>
              <w:rPr>
                <w:rFonts w:ascii="仿宋" w:hAnsi="仿宋" w:eastAsia="仿宋" w:cs="仿宋"/>
                <w:kern w:val="0"/>
                <w:sz w:val="24"/>
                <w:highlight w:val="none"/>
                <w:lang w:bidi="ar"/>
              </w:rPr>
              <w:t xml:space="preserve"> </w:t>
            </w:r>
            <w:r>
              <w:rPr>
                <w:rFonts w:hint="eastAsia" w:ascii="仿宋" w:hAnsi="仿宋" w:eastAsia="仿宋" w:cs="仿宋"/>
                <w:kern w:val="0"/>
                <w:sz w:val="24"/>
                <w:highlight w:val="none"/>
                <w:lang w:bidi="ar"/>
              </w:rPr>
              <w:t>VPN证书验证对接NPS、SSTP</w:t>
            </w:r>
            <w:r>
              <w:rPr>
                <w:rFonts w:ascii="仿宋" w:hAnsi="仿宋" w:eastAsia="仿宋" w:cs="仿宋"/>
                <w:kern w:val="0"/>
                <w:sz w:val="24"/>
                <w:highlight w:val="none"/>
                <w:lang w:bidi="ar"/>
              </w:rPr>
              <w:t xml:space="preserve"> </w:t>
            </w:r>
            <w:r>
              <w:rPr>
                <w:rFonts w:hint="eastAsia" w:ascii="仿宋" w:hAnsi="仿宋" w:eastAsia="仿宋" w:cs="仿宋"/>
                <w:kern w:val="0"/>
                <w:sz w:val="24"/>
                <w:highlight w:val="none"/>
                <w:lang w:bidi="ar"/>
              </w:rPr>
              <w:t>VPN对接NPS、RDS</w:t>
            </w:r>
            <w:r>
              <w:rPr>
                <w:rFonts w:ascii="仿宋" w:hAnsi="仿宋" w:eastAsia="仿宋" w:cs="仿宋"/>
                <w:kern w:val="0"/>
                <w:sz w:val="24"/>
                <w:highlight w:val="none"/>
                <w:lang w:bidi="ar"/>
              </w:rPr>
              <w:t xml:space="preserve"> </w:t>
            </w:r>
            <w:r>
              <w:rPr>
                <w:rFonts w:hint="eastAsia" w:ascii="仿宋" w:hAnsi="仿宋" w:eastAsia="仿宋" w:cs="仿宋"/>
                <w:kern w:val="0"/>
                <w:sz w:val="24"/>
                <w:highlight w:val="none"/>
                <w:lang w:bidi="ar"/>
              </w:rPr>
              <w:t>remote-app部署、NTP服务、WSUS部署</w:t>
            </w:r>
            <w:r>
              <w:rPr>
                <w:rFonts w:ascii="仿宋" w:hAnsi="仿宋" w:eastAsia="仿宋" w:cs="仿宋"/>
                <w:kern w:val="0"/>
                <w:sz w:val="24"/>
                <w:highlight w:val="none"/>
                <w:lang w:bidi="ar"/>
              </w:rPr>
              <w:t>。</w:t>
            </w:r>
          </w:p>
        </w:tc>
        <w:tc>
          <w:tcPr>
            <w:tcW w:w="291" w:type="pct"/>
            <w:tcBorders>
              <w:top w:val="single" w:color="000000" w:sz="4" w:space="0"/>
              <w:left w:val="single" w:color="000000" w:sz="4" w:space="0"/>
              <w:bottom w:val="single" w:color="000000" w:sz="4" w:space="0"/>
              <w:right w:val="single" w:color="000000" w:sz="4" w:space="0"/>
            </w:tcBorders>
            <w:vAlign w:val="center"/>
          </w:tcPr>
          <w:p w14:paraId="17E4F0FA">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100</w:t>
            </w:r>
          </w:p>
        </w:tc>
        <w:tc>
          <w:tcPr>
            <w:tcW w:w="268" w:type="pct"/>
            <w:tcBorders>
              <w:top w:val="single" w:color="000000" w:sz="4" w:space="0"/>
              <w:left w:val="single" w:color="000000" w:sz="4" w:space="0"/>
              <w:bottom w:val="single" w:color="000000" w:sz="4" w:space="0"/>
              <w:right w:val="single" w:color="000000" w:sz="4" w:space="0"/>
            </w:tcBorders>
            <w:vAlign w:val="center"/>
          </w:tcPr>
          <w:p w14:paraId="7157F6CA">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3C46478D">
            <w:pPr>
              <w:widowControl/>
              <w:spacing w:line="360" w:lineRule="auto"/>
              <w:jc w:val="center"/>
              <w:textAlignment w:val="center"/>
              <w:rPr>
                <w:rFonts w:hint="eastAsia" w:ascii="仿宋" w:hAnsi="仿宋" w:eastAsia="仿宋" w:cs="仿宋"/>
                <w:kern w:val="0"/>
                <w:sz w:val="24"/>
                <w:highlight w:val="none"/>
                <w:lang w:bidi="ar"/>
              </w:rPr>
            </w:pPr>
          </w:p>
        </w:tc>
      </w:tr>
      <w:tr w14:paraId="2EC9A0A9">
        <w:tblPrEx>
          <w:tblCellMar>
            <w:top w:w="0" w:type="dxa"/>
            <w:left w:w="108" w:type="dxa"/>
            <w:bottom w:w="0" w:type="dxa"/>
            <w:right w:w="108" w:type="dxa"/>
          </w:tblCellMar>
        </w:tblPrEx>
        <w:trPr>
          <w:trHeight w:val="90"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10FF7E4F">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13</w:t>
            </w:r>
          </w:p>
        </w:tc>
        <w:tc>
          <w:tcPr>
            <w:tcW w:w="435" w:type="pct"/>
            <w:tcBorders>
              <w:top w:val="single" w:color="000000" w:sz="4" w:space="0"/>
              <w:left w:val="single" w:color="000000" w:sz="4" w:space="0"/>
              <w:bottom w:val="single" w:color="000000" w:sz="4" w:space="0"/>
              <w:right w:val="single" w:color="000000" w:sz="4" w:space="0"/>
            </w:tcBorders>
            <w:vAlign w:val="center"/>
          </w:tcPr>
          <w:p w14:paraId="4E9346F4">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桌椅</w:t>
            </w:r>
          </w:p>
        </w:tc>
        <w:tc>
          <w:tcPr>
            <w:tcW w:w="2846" w:type="pct"/>
            <w:tcBorders>
              <w:top w:val="single" w:color="000000" w:sz="4" w:space="0"/>
              <w:left w:val="single" w:color="000000" w:sz="4" w:space="0"/>
              <w:bottom w:val="single" w:color="000000" w:sz="4" w:space="0"/>
              <w:right w:val="single" w:color="000000" w:sz="4" w:space="0"/>
            </w:tcBorders>
            <w:vAlign w:val="center"/>
          </w:tcPr>
          <w:p w14:paraId="1D397F35">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1、</w:t>
            </w:r>
            <w:r>
              <w:rPr>
                <w:rFonts w:hint="eastAsia" w:ascii="仿宋" w:hAnsi="仿宋" w:eastAsia="仿宋" w:cs="仿宋"/>
                <w:kern w:val="0"/>
                <w:sz w:val="24"/>
                <w:highlight w:val="none"/>
                <w:lang w:bidi="ar"/>
              </w:rPr>
              <w:t>六边桌钢木结构，六角桌子，对角线2360MM,高度750MM，外边长1180MM，桌面为23MME1级环保材料颗粒板，颜色任意选择。桌面材料为优质双贴三聚氰胺板。桌面带有走线孔。桌身为钢制结构，可放置主机箱，主机箱由25*25*1.0镀锌钢管和裸板0.7MM钢板，外表静电喷涂而成。</w:t>
            </w:r>
          </w:p>
          <w:p w14:paraId="140EDAD7">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val="en-US" w:eastAsia="zh-CN" w:bidi="ar"/>
              </w:rPr>
              <w:t>2</w:t>
            </w:r>
            <w:r>
              <w:rPr>
                <w:rFonts w:hint="eastAsia" w:ascii="仿宋" w:hAnsi="仿宋" w:eastAsia="仿宋" w:cs="仿宋"/>
                <w:kern w:val="0"/>
                <w:sz w:val="24"/>
                <w:highlight w:val="none"/>
                <w:lang w:bidi="ar"/>
              </w:rPr>
              <w:t>、配套椅子：11厘实心钢筋，电镀架子，坐背使用全新塑料pp，坐垫软包使用全新纯棉足1分厚，尺寸：48×48×78</w:t>
            </w:r>
          </w:p>
        </w:tc>
        <w:tc>
          <w:tcPr>
            <w:tcW w:w="291" w:type="pct"/>
            <w:tcBorders>
              <w:top w:val="single" w:color="000000" w:sz="4" w:space="0"/>
              <w:left w:val="single" w:color="000000" w:sz="4" w:space="0"/>
              <w:bottom w:val="single" w:color="000000" w:sz="4" w:space="0"/>
              <w:right w:val="single" w:color="000000" w:sz="4" w:space="0"/>
            </w:tcBorders>
            <w:vAlign w:val="center"/>
          </w:tcPr>
          <w:p w14:paraId="762B48CC">
            <w:pPr>
              <w:widowControl/>
              <w:spacing w:line="360" w:lineRule="auto"/>
              <w:jc w:val="center"/>
              <w:textAlignment w:val="center"/>
              <w:rPr>
                <w:rFonts w:hint="eastAsia" w:ascii="仿宋" w:hAnsi="仿宋" w:eastAsia="仿宋" w:cs="仿宋"/>
                <w:sz w:val="24"/>
                <w:highlight w:val="none"/>
                <w:lang w:eastAsia="zh-CN"/>
              </w:rPr>
            </w:pPr>
            <w:r>
              <w:rPr>
                <w:rFonts w:hint="eastAsia" w:ascii="仿宋" w:hAnsi="仿宋" w:eastAsia="仿宋" w:cs="仿宋"/>
                <w:kern w:val="0"/>
                <w:sz w:val="24"/>
                <w:highlight w:val="none"/>
                <w:lang w:val="en-US" w:eastAsia="zh-CN" w:bidi="ar"/>
              </w:rPr>
              <w:t>4</w:t>
            </w:r>
          </w:p>
        </w:tc>
        <w:tc>
          <w:tcPr>
            <w:tcW w:w="268" w:type="pct"/>
            <w:tcBorders>
              <w:top w:val="single" w:color="000000" w:sz="4" w:space="0"/>
              <w:left w:val="single" w:color="000000" w:sz="4" w:space="0"/>
              <w:bottom w:val="single" w:color="000000" w:sz="4" w:space="0"/>
              <w:right w:val="single" w:color="000000" w:sz="4" w:space="0"/>
            </w:tcBorders>
            <w:vAlign w:val="center"/>
          </w:tcPr>
          <w:p w14:paraId="6BF4EA38">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53AF9E99">
            <w:pPr>
              <w:widowControl/>
              <w:spacing w:line="360" w:lineRule="auto"/>
              <w:jc w:val="both"/>
              <w:textAlignment w:val="center"/>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-6889115</wp:posOffset>
                  </wp:positionV>
                  <wp:extent cx="1459230" cy="975360"/>
                  <wp:effectExtent l="0" t="0" r="7620" b="15240"/>
                  <wp:wrapSquare wrapText="bothSides"/>
                  <wp:docPr id="3" name="图片 3" descr="f382e56e8ddcc3a17b39082662898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382e56e8ddcc3a17b39082662898158"/>
                          <pic:cNvPicPr>
                            <a:picLocks noChangeAspect="1"/>
                          </pic:cNvPicPr>
                        </pic:nvPicPr>
                        <pic:blipFill>
                          <a:blip r:embed="rId5"/>
                          <a:stretch>
                            <a:fillRect/>
                          </a:stretch>
                        </pic:blipFill>
                        <pic:spPr>
                          <a:xfrm>
                            <a:off x="0" y="0"/>
                            <a:ext cx="1459230" cy="975360"/>
                          </a:xfrm>
                          <a:prstGeom prst="rect">
                            <a:avLst/>
                          </a:prstGeom>
                        </pic:spPr>
                      </pic:pic>
                    </a:graphicData>
                  </a:graphic>
                </wp:anchor>
              </w:drawing>
            </w:r>
          </w:p>
        </w:tc>
      </w:tr>
      <w:tr w14:paraId="215C2003">
        <w:tblPrEx>
          <w:tblCellMar>
            <w:top w:w="0" w:type="dxa"/>
            <w:left w:w="108" w:type="dxa"/>
            <w:bottom w:w="0" w:type="dxa"/>
            <w:right w:w="108" w:type="dxa"/>
          </w:tblCellMar>
        </w:tblPrEx>
        <w:trPr>
          <w:trHeight w:val="90"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3F27A788">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14</w:t>
            </w:r>
          </w:p>
        </w:tc>
        <w:tc>
          <w:tcPr>
            <w:tcW w:w="435" w:type="pct"/>
            <w:tcBorders>
              <w:top w:val="single" w:color="000000" w:sz="4" w:space="0"/>
              <w:left w:val="single" w:color="000000" w:sz="4" w:space="0"/>
              <w:bottom w:val="single" w:color="000000" w:sz="4" w:space="0"/>
              <w:right w:val="single" w:color="000000" w:sz="4" w:space="0"/>
            </w:tcBorders>
            <w:vAlign w:val="center"/>
          </w:tcPr>
          <w:p w14:paraId="642B874C">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防火隔墙</w:t>
            </w:r>
          </w:p>
        </w:tc>
        <w:tc>
          <w:tcPr>
            <w:tcW w:w="2846" w:type="pct"/>
            <w:tcBorders>
              <w:top w:val="single" w:color="000000" w:sz="4" w:space="0"/>
              <w:left w:val="single" w:color="000000" w:sz="4" w:space="0"/>
              <w:bottom w:val="single" w:color="000000" w:sz="4" w:space="0"/>
              <w:right w:val="single" w:color="000000" w:sz="4" w:space="0"/>
            </w:tcBorders>
            <w:vAlign w:val="center"/>
          </w:tcPr>
          <w:p w14:paraId="611ABF56">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隔墙总体厚度5公分。外层镀锌彩涂钢板，厚度0.4公分。中间防火岩棉，密度100K。</w:t>
            </w:r>
          </w:p>
        </w:tc>
        <w:tc>
          <w:tcPr>
            <w:tcW w:w="291" w:type="pct"/>
            <w:tcBorders>
              <w:top w:val="single" w:color="000000" w:sz="4" w:space="0"/>
              <w:left w:val="single" w:color="000000" w:sz="4" w:space="0"/>
              <w:bottom w:val="single" w:color="000000" w:sz="4" w:space="0"/>
              <w:right w:val="single" w:color="000000" w:sz="4" w:space="0"/>
            </w:tcBorders>
            <w:vAlign w:val="center"/>
          </w:tcPr>
          <w:p w14:paraId="6D829E0F">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w:t>
            </w:r>
          </w:p>
        </w:tc>
        <w:tc>
          <w:tcPr>
            <w:tcW w:w="268" w:type="pct"/>
            <w:tcBorders>
              <w:top w:val="single" w:color="000000" w:sz="4" w:space="0"/>
              <w:left w:val="single" w:color="000000" w:sz="4" w:space="0"/>
              <w:bottom w:val="single" w:color="000000" w:sz="4" w:space="0"/>
              <w:right w:val="single" w:color="000000" w:sz="4" w:space="0"/>
            </w:tcBorders>
            <w:vAlign w:val="center"/>
          </w:tcPr>
          <w:p w14:paraId="258D9C33">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4663687A">
            <w:pPr>
              <w:widowControl/>
              <w:spacing w:line="360" w:lineRule="auto"/>
              <w:jc w:val="center"/>
              <w:textAlignment w:val="center"/>
              <w:rPr>
                <w:rFonts w:hint="eastAsia" w:ascii="仿宋" w:hAnsi="仿宋" w:eastAsia="仿宋" w:cs="仿宋"/>
                <w:kern w:val="0"/>
                <w:sz w:val="24"/>
                <w:highlight w:val="none"/>
                <w:lang w:bidi="ar"/>
              </w:rPr>
            </w:pPr>
          </w:p>
        </w:tc>
      </w:tr>
      <w:tr w14:paraId="19FC2E39">
        <w:tblPrEx>
          <w:tblCellMar>
            <w:top w:w="0" w:type="dxa"/>
            <w:left w:w="108" w:type="dxa"/>
            <w:bottom w:w="0" w:type="dxa"/>
            <w:right w:w="108" w:type="dxa"/>
          </w:tblCellMar>
        </w:tblPrEx>
        <w:trPr>
          <w:trHeight w:val="90"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7D23FBA4">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15</w:t>
            </w:r>
          </w:p>
        </w:tc>
        <w:tc>
          <w:tcPr>
            <w:tcW w:w="435" w:type="pct"/>
            <w:tcBorders>
              <w:top w:val="single" w:color="000000" w:sz="4" w:space="0"/>
              <w:left w:val="single" w:color="000000" w:sz="4" w:space="0"/>
              <w:bottom w:val="single" w:color="000000" w:sz="4" w:space="0"/>
              <w:right w:val="single" w:color="000000" w:sz="4" w:space="0"/>
            </w:tcBorders>
            <w:vAlign w:val="center"/>
          </w:tcPr>
          <w:p w14:paraId="32B710D1">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宣传幕墙</w:t>
            </w:r>
          </w:p>
        </w:tc>
        <w:tc>
          <w:tcPr>
            <w:tcW w:w="2846" w:type="pct"/>
            <w:tcBorders>
              <w:top w:val="single" w:color="000000" w:sz="4" w:space="0"/>
              <w:left w:val="single" w:color="000000" w:sz="4" w:space="0"/>
              <w:bottom w:val="single" w:color="000000" w:sz="4" w:space="0"/>
              <w:right w:val="single" w:color="000000" w:sz="4" w:space="0"/>
            </w:tcBorders>
            <w:vAlign w:val="center"/>
          </w:tcPr>
          <w:p w14:paraId="3DAD5510">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喷绘幕墙：油画布挂画：100cm*400cm，10幅</w:t>
            </w:r>
            <w:r>
              <w:rPr>
                <w:rFonts w:hint="eastAsia" w:ascii="仿宋" w:hAnsi="仿宋" w:eastAsia="仿宋" w:cs="仿宋"/>
                <w:kern w:val="0"/>
                <w:sz w:val="24"/>
                <w:highlight w:val="none"/>
                <w:lang w:eastAsia="zh-CN" w:bidi="ar"/>
              </w:rPr>
              <w:t>，</w:t>
            </w:r>
            <w:r>
              <w:rPr>
                <w:rFonts w:hint="eastAsia" w:ascii="仿宋" w:hAnsi="仿宋" w:eastAsia="仿宋" w:cs="仿宋"/>
                <w:kern w:val="0"/>
                <w:sz w:val="24"/>
                <w:highlight w:val="none"/>
                <w:lang w:val="en-US" w:eastAsia="zh-CN" w:bidi="ar"/>
              </w:rPr>
              <w:t>内容由采购人确定后再制作。</w:t>
            </w:r>
          </w:p>
        </w:tc>
        <w:tc>
          <w:tcPr>
            <w:tcW w:w="291" w:type="pct"/>
            <w:tcBorders>
              <w:top w:val="single" w:color="000000" w:sz="4" w:space="0"/>
              <w:left w:val="single" w:color="000000" w:sz="4" w:space="0"/>
              <w:bottom w:val="single" w:color="000000" w:sz="4" w:space="0"/>
              <w:right w:val="single" w:color="000000" w:sz="4" w:space="0"/>
            </w:tcBorders>
            <w:vAlign w:val="center"/>
          </w:tcPr>
          <w:p w14:paraId="7D9DDBF5">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w:t>
            </w:r>
          </w:p>
        </w:tc>
        <w:tc>
          <w:tcPr>
            <w:tcW w:w="268" w:type="pct"/>
            <w:tcBorders>
              <w:top w:val="single" w:color="000000" w:sz="4" w:space="0"/>
              <w:left w:val="single" w:color="000000" w:sz="4" w:space="0"/>
              <w:bottom w:val="single" w:color="000000" w:sz="4" w:space="0"/>
              <w:right w:val="single" w:color="000000" w:sz="4" w:space="0"/>
            </w:tcBorders>
            <w:vAlign w:val="center"/>
          </w:tcPr>
          <w:p w14:paraId="5A2F3597">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7EDAF41A">
            <w:pPr>
              <w:widowControl/>
              <w:spacing w:line="360" w:lineRule="auto"/>
              <w:jc w:val="center"/>
              <w:textAlignment w:val="center"/>
              <w:rPr>
                <w:rFonts w:hint="eastAsia" w:ascii="仿宋" w:hAnsi="仿宋" w:eastAsia="仿宋" w:cs="仿宋"/>
                <w:kern w:val="0"/>
                <w:sz w:val="24"/>
                <w:highlight w:val="none"/>
                <w:lang w:bidi="ar"/>
              </w:rPr>
            </w:pPr>
          </w:p>
        </w:tc>
      </w:tr>
      <w:tr w14:paraId="484B21E8">
        <w:tblPrEx>
          <w:tblCellMar>
            <w:top w:w="0" w:type="dxa"/>
            <w:left w:w="108" w:type="dxa"/>
            <w:bottom w:w="0" w:type="dxa"/>
            <w:right w:w="108" w:type="dxa"/>
          </w:tblCellMar>
        </w:tblPrEx>
        <w:trPr>
          <w:trHeight w:val="90"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4C1EDADF">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16</w:t>
            </w:r>
          </w:p>
        </w:tc>
        <w:tc>
          <w:tcPr>
            <w:tcW w:w="435" w:type="pct"/>
            <w:tcBorders>
              <w:top w:val="single" w:color="000000" w:sz="4" w:space="0"/>
              <w:left w:val="single" w:color="000000" w:sz="4" w:space="0"/>
              <w:bottom w:val="single" w:color="000000" w:sz="4" w:space="0"/>
              <w:right w:val="single" w:color="000000" w:sz="4" w:space="0"/>
            </w:tcBorders>
            <w:vAlign w:val="center"/>
          </w:tcPr>
          <w:p w14:paraId="4C6E7AB6">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机柜</w:t>
            </w:r>
          </w:p>
        </w:tc>
        <w:tc>
          <w:tcPr>
            <w:tcW w:w="2846" w:type="pct"/>
            <w:tcBorders>
              <w:top w:val="single" w:color="000000" w:sz="4" w:space="0"/>
              <w:left w:val="single" w:color="000000" w:sz="4" w:space="0"/>
              <w:bottom w:val="single" w:color="000000" w:sz="4" w:space="0"/>
              <w:right w:val="single" w:color="000000" w:sz="4" w:space="0"/>
            </w:tcBorders>
            <w:vAlign w:val="center"/>
          </w:tcPr>
          <w:p w14:paraId="5ADFF5F7">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32U机柜，尺寸600*1000*1600</w:t>
            </w:r>
          </w:p>
        </w:tc>
        <w:tc>
          <w:tcPr>
            <w:tcW w:w="291" w:type="pct"/>
            <w:tcBorders>
              <w:top w:val="single" w:color="000000" w:sz="4" w:space="0"/>
              <w:left w:val="single" w:color="000000" w:sz="4" w:space="0"/>
              <w:bottom w:val="single" w:color="000000" w:sz="4" w:space="0"/>
              <w:right w:val="single" w:color="000000" w:sz="4" w:space="0"/>
            </w:tcBorders>
            <w:vAlign w:val="center"/>
          </w:tcPr>
          <w:p w14:paraId="24AD5B17">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2</w:t>
            </w:r>
          </w:p>
        </w:tc>
        <w:tc>
          <w:tcPr>
            <w:tcW w:w="268" w:type="pct"/>
            <w:tcBorders>
              <w:top w:val="single" w:color="000000" w:sz="4" w:space="0"/>
              <w:left w:val="single" w:color="000000" w:sz="4" w:space="0"/>
              <w:bottom w:val="single" w:color="000000" w:sz="4" w:space="0"/>
              <w:right w:val="single" w:color="000000" w:sz="4" w:space="0"/>
            </w:tcBorders>
            <w:vAlign w:val="center"/>
          </w:tcPr>
          <w:p w14:paraId="638483AA">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5C27BF86">
            <w:pPr>
              <w:widowControl/>
              <w:spacing w:line="360" w:lineRule="auto"/>
              <w:jc w:val="center"/>
              <w:textAlignment w:val="center"/>
              <w:rPr>
                <w:rFonts w:hint="eastAsia" w:ascii="仿宋" w:hAnsi="仿宋" w:eastAsia="仿宋" w:cs="仿宋"/>
                <w:kern w:val="0"/>
                <w:sz w:val="24"/>
                <w:highlight w:val="none"/>
                <w:lang w:bidi="ar"/>
              </w:rPr>
            </w:pPr>
          </w:p>
        </w:tc>
      </w:tr>
      <w:tr w14:paraId="26F94737">
        <w:tblPrEx>
          <w:tblCellMar>
            <w:top w:w="0" w:type="dxa"/>
            <w:left w:w="108" w:type="dxa"/>
            <w:bottom w:w="0" w:type="dxa"/>
            <w:right w:w="108" w:type="dxa"/>
          </w:tblCellMar>
        </w:tblPrEx>
        <w:trPr>
          <w:trHeight w:val="90" w:hRule="atLeast"/>
        </w:trPr>
        <w:tc>
          <w:tcPr>
            <w:tcW w:w="316" w:type="pct"/>
            <w:tcBorders>
              <w:top w:val="single" w:color="000000" w:sz="4" w:space="0"/>
              <w:left w:val="single" w:color="000000" w:sz="4" w:space="0"/>
              <w:bottom w:val="single" w:color="000000" w:sz="4" w:space="0"/>
              <w:right w:val="single" w:color="000000" w:sz="4" w:space="0"/>
            </w:tcBorders>
            <w:vAlign w:val="center"/>
          </w:tcPr>
          <w:p w14:paraId="64E14BE5">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17</w:t>
            </w:r>
          </w:p>
        </w:tc>
        <w:tc>
          <w:tcPr>
            <w:tcW w:w="435" w:type="pct"/>
            <w:tcBorders>
              <w:top w:val="single" w:color="000000" w:sz="4" w:space="0"/>
              <w:left w:val="single" w:color="000000" w:sz="4" w:space="0"/>
              <w:bottom w:val="single" w:color="000000" w:sz="4" w:space="0"/>
              <w:right w:val="single" w:color="000000" w:sz="4" w:space="0"/>
            </w:tcBorders>
            <w:vAlign w:val="center"/>
          </w:tcPr>
          <w:p w14:paraId="31D2B53B">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安装布线</w:t>
            </w:r>
          </w:p>
        </w:tc>
        <w:tc>
          <w:tcPr>
            <w:tcW w:w="2846" w:type="pct"/>
            <w:tcBorders>
              <w:top w:val="single" w:color="000000" w:sz="4" w:space="0"/>
              <w:left w:val="single" w:color="000000" w:sz="4" w:space="0"/>
              <w:bottom w:val="single" w:color="000000" w:sz="4" w:space="0"/>
              <w:right w:val="single" w:color="000000" w:sz="4" w:space="0"/>
            </w:tcBorders>
            <w:vAlign w:val="center"/>
          </w:tcPr>
          <w:p w14:paraId="2DEEC290">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房间布线、设备上架等</w:t>
            </w:r>
          </w:p>
        </w:tc>
        <w:tc>
          <w:tcPr>
            <w:tcW w:w="291" w:type="pct"/>
            <w:tcBorders>
              <w:top w:val="single" w:color="000000" w:sz="4" w:space="0"/>
              <w:left w:val="single" w:color="000000" w:sz="4" w:space="0"/>
              <w:bottom w:val="single" w:color="000000" w:sz="4" w:space="0"/>
              <w:right w:val="single" w:color="000000" w:sz="4" w:space="0"/>
            </w:tcBorders>
            <w:vAlign w:val="center"/>
          </w:tcPr>
          <w:p w14:paraId="012FA9B6">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w:t>
            </w:r>
          </w:p>
        </w:tc>
        <w:tc>
          <w:tcPr>
            <w:tcW w:w="268" w:type="pct"/>
            <w:tcBorders>
              <w:top w:val="single" w:color="000000" w:sz="4" w:space="0"/>
              <w:left w:val="single" w:color="000000" w:sz="4" w:space="0"/>
              <w:bottom w:val="single" w:color="000000" w:sz="4" w:space="0"/>
              <w:right w:val="single" w:color="000000" w:sz="4" w:space="0"/>
            </w:tcBorders>
            <w:vAlign w:val="center"/>
          </w:tcPr>
          <w:p w14:paraId="21E242CB">
            <w:pPr>
              <w:widowControl/>
              <w:spacing w:line="360" w:lineRule="auto"/>
              <w:jc w:val="center"/>
              <w:textAlignment w:val="center"/>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val="en-US" w:eastAsia="zh-CN" w:bidi="ar"/>
              </w:rPr>
              <w:t>项</w:t>
            </w:r>
          </w:p>
        </w:tc>
        <w:tc>
          <w:tcPr>
            <w:tcW w:w="842" w:type="pct"/>
            <w:tcBorders>
              <w:top w:val="single" w:color="000000" w:sz="4" w:space="0"/>
              <w:left w:val="single" w:color="000000" w:sz="4" w:space="0"/>
              <w:bottom w:val="single" w:color="000000" w:sz="4" w:space="0"/>
              <w:right w:val="single" w:color="000000" w:sz="4" w:space="0"/>
            </w:tcBorders>
            <w:vAlign w:val="center"/>
          </w:tcPr>
          <w:p w14:paraId="0018D5FD">
            <w:pPr>
              <w:widowControl/>
              <w:spacing w:line="360" w:lineRule="auto"/>
              <w:jc w:val="center"/>
              <w:textAlignment w:val="center"/>
              <w:rPr>
                <w:rFonts w:hint="eastAsia" w:ascii="仿宋" w:hAnsi="仿宋" w:eastAsia="仿宋" w:cs="仿宋"/>
                <w:kern w:val="0"/>
                <w:sz w:val="24"/>
                <w:highlight w:val="none"/>
                <w:lang w:val="en-US" w:eastAsia="zh-CN" w:bidi="ar"/>
              </w:rPr>
            </w:pPr>
          </w:p>
        </w:tc>
      </w:tr>
    </w:tbl>
    <w:p w14:paraId="15F58D03">
      <w:pPr>
        <w:spacing w:line="360" w:lineRule="auto"/>
        <w:rPr>
          <w:rFonts w:hint="eastAsia" w:ascii="仿宋" w:hAnsi="仿宋" w:eastAsia="仿宋" w:cs="仿宋"/>
          <w:b/>
          <w:bCs/>
          <w:sz w:val="24"/>
          <w:highlight w:val="none"/>
        </w:rPr>
      </w:pPr>
      <w:r>
        <w:rPr>
          <w:rFonts w:hint="eastAsia" w:ascii="仿宋" w:hAnsi="仿宋" w:eastAsia="仿宋" w:cs="仿宋"/>
          <w:b/>
          <w:bCs/>
          <w:sz w:val="24"/>
          <w:highlight w:val="none"/>
        </w:rPr>
        <w:t>注：1、以上技术条款为最低指标，响应人必须全部响应(满足或优于技术要求)；</w:t>
      </w:r>
    </w:p>
    <w:p w14:paraId="47B7FEC5">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b/>
          <w:bCs/>
          <w:sz w:val="24"/>
          <w:highlight w:val="none"/>
        </w:rPr>
        <w:t>2、技术要求中有公差的按技术要求中的公差标准为准，没有的验收时最大尺寸偏差为±5%。</w:t>
      </w:r>
    </w:p>
    <w:p w14:paraId="2E1769B0">
      <w:pPr>
        <w:keepNext w:val="0"/>
        <w:keepLines w:val="0"/>
        <w:pageBreakBefore w:val="0"/>
        <w:widowControl w:val="0"/>
        <w:kinsoku/>
        <w:wordWrap/>
        <w:overflowPunct/>
        <w:topLinePunct w:val="0"/>
        <w:autoSpaceDE/>
        <w:autoSpaceDN/>
        <w:bidi w:val="0"/>
        <w:adjustRightInd/>
        <w:snapToGrid/>
        <w:spacing w:after="156" w:afterLines="50" w:line="336" w:lineRule="auto"/>
        <w:ind w:firstLine="480" w:firstLineChars="200"/>
        <w:textAlignment w:val="auto"/>
        <w:rPr>
          <w:rFonts w:hint="eastAsia" w:ascii="仿宋" w:hAnsi="仿宋" w:eastAsia="仿宋" w:cs="仿宋"/>
          <w:b/>
          <w:color w:val="auto"/>
          <w:sz w:val="24"/>
          <w:szCs w:val="24"/>
          <w:highlight w:val="none"/>
          <w:u w:val="single"/>
          <w:lang w:eastAsia="zh-CN"/>
        </w:rPr>
      </w:pPr>
      <w:r>
        <w:rPr>
          <w:rFonts w:hint="eastAsia" w:ascii="仿宋" w:hAnsi="仿宋" w:eastAsia="仿宋" w:cs="仿宋"/>
          <w:color w:val="auto"/>
          <w:sz w:val="24"/>
          <w:szCs w:val="24"/>
          <w:highlight w:val="none"/>
        </w:rPr>
        <w:t>本人作为</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人法人代表，清楚知晓我单位参与（开标时间）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日，本项目（项目名称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项目编号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的投标活动，对以</w:t>
      </w:r>
      <w:r>
        <w:rPr>
          <w:rFonts w:hint="eastAsia" w:ascii="仿宋" w:hAnsi="仿宋" w:eastAsia="仿宋" w:cs="仿宋"/>
          <w:color w:val="auto"/>
          <w:sz w:val="24"/>
          <w:szCs w:val="24"/>
          <w:highlight w:val="none"/>
          <w:lang w:eastAsia="zh-CN"/>
        </w:rPr>
        <w:t>上</w:t>
      </w:r>
      <w:r>
        <w:rPr>
          <w:rFonts w:hint="eastAsia" w:ascii="仿宋" w:hAnsi="仿宋" w:eastAsia="仿宋" w:cs="仿宋"/>
          <w:color w:val="auto"/>
          <w:sz w:val="24"/>
          <w:szCs w:val="24"/>
          <w:highlight w:val="none"/>
        </w:rPr>
        <w:t>事项作出承诺：</w:t>
      </w:r>
    </w:p>
    <w:p w14:paraId="774F11C0">
      <w:pPr>
        <w:keepNext w:val="0"/>
        <w:keepLines w:val="0"/>
        <w:pageBreakBefore w:val="0"/>
        <w:widowControl w:val="0"/>
        <w:kinsoku/>
        <w:wordWrap/>
        <w:overflowPunct/>
        <w:topLinePunct w:val="0"/>
        <w:autoSpaceDE/>
        <w:autoSpaceDN/>
        <w:bidi w:val="0"/>
        <w:snapToGrid/>
        <w:spacing w:line="336"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我单位响应以上所有采购清单及技术需求并遵循公开、公平、公正、诚实守信的原则，依法依规参与本项目的投标。</w:t>
      </w:r>
    </w:p>
    <w:p w14:paraId="1468CC9B">
      <w:pPr>
        <w:keepNext w:val="0"/>
        <w:keepLines w:val="0"/>
        <w:pageBreakBefore w:val="0"/>
        <w:widowControl w:val="0"/>
        <w:kinsoku/>
        <w:wordWrap/>
        <w:overflowPunct/>
        <w:topLinePunct w:val="0"/>
        <w:autoSpaceDE/>
        <w:autoSpaceDN/>
        <w:bidi w:val="0"/>
        <w:snapToGrid/>
        <w:spacing w:line="336" w:lineRule="auto"/>
        <w:jc w:val="righ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w:t>
      </w:r>
    </w:p>
    <w:p w14:paraId="31873CFA">
      <w:pPr>
        <w:keepNext w:val="0"/>
        <w:keepLines w:val="0"/>
        <w:pageBreakBefore w:val="0"/>
        <w:widowControl w:val="0"/>
        <w:kinsoku/>
        <w:wordWrap/>
        <w:overflowPunct/>
        <w:topLinePunct w:val="0"/>
        <w:autoSpaceDE/>
        <w:autoSpaceDN/>
        <w:bidi w:val="0"/>
        <w:snapToGrid/>
        <w:spacing w:line="336" w:lineRule="auto"/>
        <w:jc w:val="righ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法定代表人（或授权委托人）签字或章</w:t>
      </w:r>
      <w:r>
        <w:rPr>
          <w:rFonts w:hint="eastAsia" w:ascii="仿宋" w:hAnsi="仿宋" w:eastAsia="仿宋" w:cs="仿宋"/>
          <w:color w:val="auto"/>
          <w:sz w:val="24"/>
          <w:szCs w:val="24"/>
          <w:highlight w:val="none"/>
        </w:rPr>
        <w:t>：</w:t>
      </w:r>
    </w:p>
    <w:p w14:paraId="1D4D1403">
      <w:pPr>
        <w:spacing w:line="480" w:lineRule="auto"/>
        <w:jc w:val="right"/>
        <w:rPr>
          <w:rFonts w:hint="eastAsia" w:ascii="仿宋" w:hAnsi="仿宋" w:eastAsia="仿宋" w:cs="仿宋"/>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响应</w:t>
      </w:r>
      <w:r>
        <w:rPr>
          <w:rFonts w:hint="eastAsia" w:ascii="仿宋" w:hAnsi="仿宋" w:eastAsia="仿宋" w:cs="仿宋"/>
          <w:color w:val="auto"/>
          <w:sz w:val="24"/>
          <w:szCs w:val="24"/>
          <w:highlight w:val="none"/>
        </w:rPr>
        <w:t>单位（盖章）：</w:t>
      </w:r>
    </w:p>
    <w:p w14:paraId="42D0509E">
      <w:pPr>
        <w:rPr>
          <w:rFonts w:hint="eastAsia" w:ascii="仿宋" w:hAnsi="仿宋" w:eastAsia="仿宋" w:cs="仿宋"/>
          <w:sz w:val="24"/>
          <w:highlight w:val="none"/>
          <w:u w:val="single"/>
        </w:rPr>
      </w:pPr>
    </w:p>
    <w:p w14:paraId="425E376E">
      <w:pPr>
        <w:pStyle w:val="4"/>
        <w:jc w:val="center"/>
        <w:rPr>
          <w:rFonts w:hint="eastAsia" w:ascii="仿宋" w:hAnsi="仿宋" w:eastAsia="仿宋" w:cs="仿宋"/>
          <w:highlight w:val="none"/>
          <w:lang w:eastAsia="zh-CN"/>
        </w:rPr>
      </w:pPr>
      <w:bookmarkStart w:id="212" w:name="_Toc475970892"/>
      <w:bookmarkStart w:id="213" w:name="_Toc5190"/>
      <w:bookmarkStart w:id="214" w:name="_Toc30880"/>
      <w:bookmarkStart w:id="215" w:name="_Toc7156"/>
      <w:bookmarkStart w:id="216" w:name="_Toc225565941"/>
      <w:bookmarkStart w:id="217" w:name="_Toc4310"/>
      <w:bookmarkStart w:id="218" w:name="_Toc223948603"/>
      <w:bookmarkStart w:id="219" w:name="_Toc218852678"/>
      <w:bookmarkStart w:id="220" w:name="_Toc20925"/>
      <w:bookmarkStart w:id="221" w:name="_Toc4617"/>
      <w:r>
        <w:rPr>
          <w:rFonts w:hint="eastAsia" w:ascii="仿宋" w:hAnsi="仿宋" w:eastAsia="仿宋" w:cs="仿宋"/>
          <w:sz w:val="28"/>
          <w:szCs w:val="28"/>
          <w:highlight w:val="none"/>
        </w:rPr>
        <w:t>5、</w:t>
      </w:r>
      <w:bookmarkEnd w:id="212"/>
      <w:bookmarkEnd w:id="213"/>
      <w:bookmarkEnd w:id="214"/>
      <w:bookmarkEnd w:id="215"/>
      <w:bookmarkEnd w:id="216"/>
      <w:bookmarkEnd w:id="217"/>
      <w:bookmarkEnd w:id="218"/>
      <w:bookmarkEnd w:id="219"/>
      <w:bookmarkEnd w:id="220"/>
      <w:r>
        <w:rPr>
          <w:rFonts w:hint="eastAsia" w:ascii="仿宋" w:hAnsi="仿宋" w:eastAsia="仿宋" w:cs="仿宋"/>
          <w:sz w:val="28"/>
          <w:szCs w:val="28"/>
          <w:highlight w:val="none"/>
          <w:lang w:eastAsia="zh-CN"/>
        </w:rPr>
        <w:t>商务条款响应承诺函</w:t>
      </w:r>
      <w:bookmarkEnd w:id="221"/>
    </w:p>
    <w:p w14:paraId="6E4C60CF">
      <w:pPr>
        <w:spacing w:line="360" w:lineRule="auto"/>
        <w:rPr>
          <w:rFonts w:hint="eastAsia" w:ascii="仿宋" w:hAnsi="仿宋" w:eastAsia="仿宋" w:cs="仿宋"/>
          <w:sz w:val="24"/>
          <w:highlight w:val="none"/>
          <w:u w:val="single"/>
        </w:rPr>
      </w:pPr>
      <w:r>
        <w:rPr>
          <w:rFonts w:hint="eastAsia" w:ascii="仿宋" w:hAnsi="仿宋" w:eastAsia="仿宋" w:cs="仿宋"/>
          <w:sz w:val="24"/>
          <w:szCs w:val="24"/>
          <w:highlight w:val="none"/>
          <w:lang w:val="en-US" w:eastAsia="zh-CN"/>
        </w:rPr>
        <w:t>我公司承诺：</w:t>
      </w:r>
    </w:p>
    <w:p w14:paraId="7ACF1865">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ascii="仿宋" w:hAnsi="仿宋" w:eastAsia="仿宋" w:cs="仿宋"/>
          <w:sz w:val="28"/>
          <w:szCs w:val="28"/>
          <w:highlight w:val="none"/>
          <w:lang w:eastAsia="zh-CN"/>
        </w:rPr>
      </w:pPr>
      <w:r>
        <w:rPr>
          <w:rFonts w:hint="eastAsia" w:ascii="仿宋" w:hAnsi="仿宋" w:eastAsia="仿宋" w:cs="仿宋"/>
          <w:b/>
          <w:bCs/>
          <w:sz w:val="28"/>
          <w:szCs w:val="28"/>
          <w:highlight w:val="none"/>
        </w:rPr>
        <w:t>（二）商务</w:t>
      </w:r>
      <w:r>
        <w:rPr>
          <w:rFonts w:hint="eastAsia" w:ascii="仿宋" w:hAnsi="仿宋" w:eastAsia="仿宋" w:cs="仿宋"/>
          <w:b/>
          <w:bCs/>
          <w:sz w:val="28"/>
          <w:szCs w:val="28"/>
          <w:highlight w:val="none"/>
          <w:lang w:val="en-US" w:eastAsia="zh-CN"/>
        </w:rPr>
        <w:t>条款</w:t>
      </w:r>
    </w:p>
    <w:p w14:paraId="2C8792B7">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本次采购的所有产品均为全新的,未经使用的，技术先进的产品，并且产品质量和各项性能指标必须满足国家和相关行业现行标准；不得用假冒及伪劣产品替代，如出现质量问题使用单位有权退货；如造成损失的，使用单位可要求成交人给予赔偿。</w:t>
      </w:r>
    </w:p>
    <w:p w14:paraId="5510A6C9">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2.响应货物的安装、检测、验收等，应执行现行的国家标准、部颁标准、行业标准或通用国际标准。</w:t>
      </w:r>
    </w:p>
    <w:p w14:paraId="560E0D3E">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3.验收：</w:t>
      </w:r>
    </w:p>
    <w:p w14:paraId="17DDA821">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（1）交付验收标准：依次序对照适用标准为：</w:t>
      </w:r>
    </w:p>
    <w:p w14:paraId="4E4426A9">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①符合中华人民共和国国家安全质量标准、环保标准或行业标准；</w:t>
      </w:r>
    </w:p>
    <w:p w14:paraId="4C8F1025">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②符合采购文件和响应承诺中采购人认可的合理最佳配置、参数及各项要求</w:t>
      </w:r>
    </w:p>
    <w:p w14:paraId="7BC1FBC3">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③货物来源国家官方标准。</w:t>
      </w:r>
    </w:p>
    <w:p w14:paraId="10BE4DA3">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（2）成交供应商须为验收提供必需的设备、工具及其他便利条件。</w:t>
      </w:r>
    </w:p>
    <w:p w14:paraId="00F720AA">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（3）在验收过程中发现数量不足或有质量、技术等问题，成交供应商应负责按照采购人的要求采取补足、更换或退货等措施妥善处理，并承担由此发生的一切费用和损失。</w:t>
      </w:r>
    </w:p>
    <w:p w14:paraId="3B65AC7C">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（4）外形尺寸参数要求偏差值不超过±5%，属于厚度的为最低值，不得有公差。</w:t>
      </w:r>
    </w:p>
    <w:p w14:paraId="286D3374">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（5）相关检验检测和验收费用全部由成交供应商承担。</w:t>
      </w:r>
    </w:p>
    <w:p w14:paraId="34D9E68F">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（6）本项目为交钥匙工程，由成交供应商负责运输、施工等一切费用，成交供应商负责制定具体的施工的进度计划，双方共同协商制定时间表。</w:t>
      </w:r>
    </w:p>
    <w:p w14:paraId="16E4664E">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4.成交人应根据采购人的要求派出技术全面、经验丰富的技术人员在安装现场进行安装和有关安装指导。</w:t>
      </w:r>
    </w:p>
    <w:p w14:paraId="75A270DC">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5.技术培训对象及培训目标、要求：</w:t>
      </w:r>
    </w:p>
    <w:p w14:paraId="7BBC5121">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（1）供应商需提供不少于</w:t>
      </w:r>
      <w:r>
        <w:rPr>
          <w:rFonts w:hint="eastAsia" w:ascii="仿宋" w:hAnsi="仿宋" w:eastAsia="仿宋" w:cs="仿宋"/>
          <w:sz w:val="24"/>
          <w:highlight w:val="none"/>
          <w:lang w:val="en-US" w:eastAsia="zh-CN"/>
        </w:rPr>
        <w:t>24课时，每节课时间不少于45分钟</w:t>
      </w:r>
      <w:r>
        <w:rPr>
          <w:rFonts w:hint="eastAsia" w:ascii="仿宋" w:hAnsi="仿宋" w:eastAsia="仿宋" w:cs="仿宋"/>
          <w:sz w:val="24"/>
          <w:highlight w:val="none"/>
        </w:rPr>
        <w:t>的现场培训，培训内容包括但不限于：网络设备（路由器、交换机、无线AC/AP等）的配置与调试、设备操作管理控制中心的使用、多元数字仿真教学平台及教学管理实训系统的操作、常见故障排除、课程资源（交换路由/无线/网络安全）的实验开展方法等。培训资料由供应商免费提供。</w:t>
      </w:r>
      <w:r>
        <w:rPr>
          <w:rFonts w:hint="eastAsia" w:ascii="仿宋" w:hAnsi="仿宋" w:eastAsia="仿宋" w:cs="仿宋"/>
          <w:sz w:val="24"/>
          <w:highlight w:val="none"/>
        </w:rPr>
        <w:br w:type="textWrapping"/>
      </w:r>
      <w:r>
        <w:rPr>
          <w:rFonts w:hint="eastAsia" w:ascii="仿宋" w:hAnsi="仿宋" w:eastAsia="仿宋" w:cs="仿宋"/>
          <w:sz w:val="24"/>
          <w:highlight w:val="none"/>
        </w:rPr>
        <w:t xml:space="preserve">  （2）提供全套电子版教学资源（U盘或网盘形式），包括实验案例、操作演示视频、开发环境安装包、原理图、实验指导书、课程PPT等，所有资源应与采购设备及教学授权点内容保持一致。</w:t>
      </w:r>
      <w:r>
        <w:rPr>
          <w:rFonts w:hint="eastAsia" w:ascii="仿宋" w:hAnsi="仿宋" w:eastAsia="仿宋" w:cs="仿宋"/>
          <w:sz w:val="24"/>
          <w:highlight w:val="none"/>
        </w:rPr>
        <w:br w:type="textWrapping"/>
      </w:r>
      <w:r>
        <w:rPr>
          <w:rFonts w:hint="eastAsia" w:ascii="仿宋" w:hAnsi="仿宋" w:eastAsia="仿宋" w:cs="仿宋"/>
          <w:sz w:val="24"/>
          <w:highlight w:val="none"/>
        </w:rPr>
        <w:t xml:space="preserve">  （</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）供应商所提供设备须为全新、原厂正品，且技术参数应完全符合或优于采购要求，不得以翻新、返修、拆机件等充当新品。</w:t>
      </w:r>
    </w:p>
    <w:p w14:paraId="2F1D032D">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6.如遇厂方兼并或代理商不再代理该产品，须与采购人做好移交手续。本合同、协议继续有效。</w:t>
      </w:r>
    </w:p>
    <w:p w14:paraId="168B1D66">
      <w:pPr>
        <w:keepNext w:val="0"/>
        <w:keepLines w:val="0"/>
        <w:pageBreakBefore w:val="0"/>
        <w:widowControl w:val="0"/>
        <w:kinsoku/>
        <w:wordWrap/>
        <w:overflowPunct/>
        <w:topLinePunct w:val="0"/>
        <w:autoSpaceDE/>
        <w:autoSpaceDN/>
        <w:bidi w:val="0"/>
        <w:adjustRightInd/>
        <w:snapToGrid/>
        <w:spacing w:line="324" w:lineRule="auto"/>
        <w:ind w:firstLine="482" w:firstLineChars="200"/>
        <w:textAlignment w:val="auto"/>
        <w:rPr>
          <w:rFonts w:hint="eastAsia" w:ascii="仿宋" w:hAnsi="仿宋" w:eastAsia="仿宋" w:cs="仿宋"/>
          <w:b/>
          <w:bCs/>
          <w:color w:val="EE0000"/>
          <w:highlight w:val="none"/>
        </w:rPr>
      </w:pPr>
      <w:r>
        <w:rPr>
          <w:rFonts w:hint="eastAsia" w:ascii="仿宋" w:hAnsi="仿宋" w:eastAsia="仿宋" w:cs="仿宋"/>
          <w:b/>
          <w:bCs/>
          <w:color w:val="EE0000"/>
          <w:sz w:val="24"/>
          <w:highlight w:val="none"/>
        </w:rPr>
        <w:t>7.新设备需具备兼容实训室已有锐捷设备的能力，供应商需提供保证设备互通的承诺函（格式自拟</w:t>
      </w:r>
      <w:r>
        <w:rPr>
          <w:rFonts w:hint="eastAsia" w:ascii="仿宋" w:hAnsi="仿宋" w:eastAsia="仿宋" w:cs="仿宋"/>
          <w:b/>
          <w:bCs/>
          <w:color w:val="EE0000"/>
          <w:sz w:val="24"/>
          <w:highlight w:val="none"/>
          <w:lang w:eastAsia="zh-CN"/>
        </w:rPr>
        <w:t>，</w:t>
      </w:r>
      <w:r>
        <w:rPr>
          <w:rFonts w:hint="eastAsia" w:ascii="仿宋" w:hAnsi="仿宋" w:eastAsia="仿宋" w:cs="仿宋"/>
          <w:b/>
          <w:bCs/>
          <w:color w:val="EE0000"/>
          <w:sz w:val="24"/>
          <w:highlight w:val="none"/>
          <w:lang w:val="en-US" w:eastAsia="zh-CN"/>
        </w:rPr>
        <w:t>须单独提供承诺函；未提供视为无效响应</w:t>
      </w:r>
      <w:r>
        <w:rPr>
          <w:rFonts w:hint="eastAsia" w:ascii="仿宋" w:hAnsi="仿宋" w:eastAsia="仿宋" w:cs="仿宋"/>
          <w:b/>
          <w:bCs/>
          <w:color w:val="EE0000"/>
          <w:sz w:val="24"/>
          <w:highlight w:val="none"/>
        </w:rPr>
        <w:t>）加盖供应商公章佐证，确保具备互通能力。</w:t>
      </w:r>
    </w:p>
    <w:p w14:paraId="70F9DBDB">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8.（1）设备数量、型号、技术参数与采购清单及合同一致；</w:t>
      </w:r>
    </w:p>
    <w:p w14:paraId="39046301">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（2）所有设备能够正常开机、运行，配套实验资源（数字仿真教学平台、教学管理实训系统、课程资源授权点等）可正常使用，各教学授权点授权数量准确且功能完整；</w:t>
      </w:r>
    </w:p>
    <w:p w14:paraId="3255132A">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（3）供应商需提供完整的操作手册、实验指导书、教学课件、源码、开发工具、实验手册等全套电子版资料；</w:t>
      </w:r>
    </w:p>
    <w:p w14:paraId="259E1C85">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（4）由校方组织专家或使用部门按合同及技术参数要求进行验收，验收时供应商需配合进行设备功能及教学系统功能的现场演示。</w:t>
      </w:r>
    </w:p>
    <w:p w14:paraId="0362E911">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9.售后服务：</w:t>
      </w:r>
    </w:p>
    <w:p w14:paraId="6C4F5EDD">
      <w:pPr>
        <w:pStyle w:val="7"/>
        <w:keepNext w:val="0"/>
        <w:keepLines w:val="0"/>
        <w:pageBreakBefore w:val="0"/>
        <w:widowControl w:val="0"/>
        <w:kinsoku/>
        <w:wordWrap/>
        <w:overflowPunct/>
        <w:topLinePunct w:val="0"/>
        <w:autoSpaceDE/>
        <w:autoSpaceDN/>
        <w:bidi w:val="0"/>
        <w:adjustRightInd/>
        <w:snapToGrid/>
        <w:spacing w:after="0" w:line="324" w:lineRule="auto"/>
        <w:ind w:firstLine="482" w:firstLineChars="200"/>
        <w:textAlignment w:val="auto"/>
        <w:rPr>
          <w:rFonts w:hint="eastAsia" w:ascii="仿宋" w:hAnsi="仿宋" w:eastAsia="仿宋" w:cs="仿宋"/>
          <w:sz w:val="24"/>
          <w:highlight w:val="none"/>
        </w:rPr>
      </w:pPr>
      <w:r>
        <w:rPr>
          <w:rFonts w:hint="eastAsia" w:ascii="仿宋" w:hAnsi="仿宋" w:eastAsia="仿宋" w:cs="仿宋"/>
          <w:b/>
          <w:bCs/>
          <w:sz w:val="24"/>
          <w:highlight w:val="none"/>
        </w:rPr>
        <w:t>成交人提供的货物应按照国家三包标准执行，质保期不低于</w:t>
      </w:r>
      <w:r>
        <w:rPr>
          <w:rFonts w:hint="eastAsia" w:ascii="仿宋" w:hAnsi="仿宋" w:eastAsia="仿宋" w:cs="仿宋"/>
          <w:b/>
          <w:bCs/>
          <w:sz w:val="24"/>
          <w:highlight w:val="none"/>
          <w:lang w:val="en-US" w:eastAsia="zh-CN"/>
        </w:rPr>
        <w:t>36</w:t>
      </w:r>
      <w:r>
        <w:rPr>
          <w:rFonts w:hint="eastAsia" w:ascii="仿宋" w:hAnsi="仿宋" w:eastAsia="仿宋" w:cs="仿宋"/>
          <w:b/>
          <w:bCs/>
          <w:sz w:val="24"/>
          <w:highlight w:val="none"/>
        </w:rPr>
        <w:t>个月，（国家或企业另有约定高于</w:t>
      </w:r>
      <w:r>
        <w:rPr>
          <w:rFonts w:hint="eastAsia" w:ascii="仿宋" w:hAnsi="仿宋" w:eastAsia="仿宋" w:cs="仿宋"/>
          <w:b/>
          <w:bCs/>
          <w:sz w:val="24"/>
          <w:highlight w:val="none"/>
          <w:lang w:val="en-US" w:eastAsia="zh-CN"/>
        </w:rPr>
        <w:t>36</w:t>
      </w:r>
      <w:r>
        <w:rPr>
          <w:rFonts w:hint="eastAsia" w:ascii="仿宋" w:hAnsi="仿宋" w:eastAsia="仿宋" w:cs="仿宋"/>
          <w:b/>
          <w:bCs/>
          <w:sz w:val="24"/>
          <w:highlight w:val="none"/>
        </w:rPr>
        <w:t>个月的从其约定），</w:t>
      </w:r>
      <w:r>
        <w:rPr>
          <w:rFonts w:hint="eastAsia" w:ascii="仿宋" w:hAnsi="仿宋" w:eastAsia="仿宋" w:cs="仿宋"/>
          <w:sz w:val="24"/>
          <w:highlight w:val="none"/>
        </w:rPr>
        <w:t>自合同货物最终验收合格之日算起，保修方式为上门服务，质量保证期内发生的一切费用由成交人承担。在质量保证期内，出现故障接采购人或使用单位通知后4小时内必须响应，12小时到达现场，24小时解决。如超过24小时仍不能排除故障，成交人应无偿提供备用品或零件供用户使用直至故障排除后正常使用。</w:t>
      </w:r>
    </w:p>
    <w:p w14:paraId="58BADF8B">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9.1 质量保证期期满后，成交人继续为采购人提供专业维修服务，由此发生的相关服务和备品备件费用由采购人承担。成交人在签订合同时应提供质保期满后相关维修服务和常用备件、备品价目表。</w:t>
      </w:r>
    </w:p>
    <w:p w14:paraId="6166CF6D">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9.2巡回检修保养售后服务：质保期内，成交人需派出专业维修技术人员不定期对现有设备进行检修保养，提前预防设备故障，及时排除故障，防范于未然，发现问题及时处理。一年内不少于2次免费巡回检修保养。</w:t>
      </w:r>
    </w:p>
    <w:p w14:paraId="5C1C9837">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10.采购合同的签订：成交人应在成交结果公告发出后5个工作日内与采购单位签订采购合同。</w:t>
      </w:r>
    </w:p>
    <w:p w14:paraId="11797794">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11.交货地点、时间：</w:t>
      </w:r>
    </w:p>
    <w:p w14:paraId="070AF50D">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11.1交货地点：采购人指定地点（吉安职业技术学院计算机网络实训室）。</w:t>
      </w:r>
    </w:p>
    <w:p w14:paraId="7D1ABB84">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11.2交货时间：</w:t>
      </w:r>
      <w:r>
        <w:rPr>
          <w:rFonts w:hint="eastAsia" w:ascii="仿宋" w:hAnsi="仿宋" w:eastAsia="仿宋" w:cs="仿宋"/>
          <w:b/>
          <w:bCs/>
          <w:color w:val="FF0000"/>
          <w:sz w:val="24"/>
          <w:highlight w:val="none"/>
        </w:rPr>
        <w:t>合同签订后30个日历天内完成全部设备供货、安装、调试并交付使用。</w:t>
      </w:r>
    </w:p>
    <w:p w14:paraId="35ACE136">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highlight w:val="none"/>
        </w:rPr>
      </w:pPr>
      <w:r>
        <w:rPr>
          <w:rFonts w:hint="eastAsia" w:ascii="仿宋" w:hAnsi="仿宋" w:eastAsia="仿宋" w:cs="仿宋"/>
          <w:sz w:val="24"/>
          <w:highlight w:val="none"/>
        </w:rPr>
        <w:t>12.付款方式：</w:t>
      </w:r>
      <w:r>
        <w:rPr>
          <w:rFonts w:hint="eastAsia" w:ascii="仿宋" w:hAnsi="仿宋" w:eastAsia="仿宋" w:cs="仿宋"/>
          <w:b/>
          <w:bCs/>
          <w:color w:val="FF0000"/>
          <w:sz w:val="24"/>
          <w:highlight w:val="none"/>
        </w:rPr>
        <w:t>由采购人邀请相关行业专家参与验收，经验收合格后支付至合同总价的100%。</w:t>
      </w:r>
    </w:p>
    <w:p w14:paraId="244D405B">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13.响应人应保证，采购人在中华人民共和国使用响应人所提供的货物或货物的任何一部分时，免受第三方提出的侵犯其专利权、商标权或工业设计权的起诉。</w:t>
      </w:r>
    </w:p>
    <w:p w14:paraId="5E13478A">
      <w:pPr>
        <w:pStyle w:val="7"/>
        <w:keepNext w:val="0"/>
        <w:keepLines w:val="0"/>
        <w:pageBreakBefore w:val="0"/>
        <w:widowControl w:val="0"/>
        <w:kinsoku/>
        <w:wordWrap/>
        <w:overflowPunct/>
        <w:topLinePunct w:val="0"/>
        <w:autoSpaceDE/>
        <w:autoSpaceDN/>
        <w:bidi w:val="0"/>
        <w:adjustRightInd/>
        <w:snapToGrid/>
        <w:spacing w:after="0" w:line="324" w:lineRule="auto"/>
        <w:ind w:firstLine="482" w:firstLineChars="200"/>
        <w:textAlignment w:val="auto"/>
        <w:rPr>
          <w:rFonts w:hint="eastAsia" w:ascii="仿宋" w:hAnsi="仿宋" w:eastAsia="仿宋" w:cs="仿宋"/>
          <w:b/>
          <w:bCs/>
          <w:color w:val="EE0000"/>
          <w:sz w:val="24"/>
          <w:highlight w:val="none"/>
        </w:rPr>
      </w:pPr>
      <w:r>
        <w:rPr>
          <w:rFonts w:hint="eastAsia" w:ascii="仿宋" w:hAnsi="仿宋" w:eastAsia="仿宋" w:cs="仿宋"/>
          <w:b/>
          <w:bCs/>
          <w:color w:val="EE0000"/>
          <w:sz w:val="24"/>
          <w:highlight w:val="none"/>
        </w:rPr>
        <w:t>13.供应商需提供采购清单所有设备、配件支持无缝接入吉安职业技术学院安防监控平台的承诺函（格式自拟</w:t>
      </w:r>
      <w:r>
        <w:rPr>
          <w:rFonts w:hint="eastAsia" w:ascii="仿宋" w:hAnsi="仿宋" w:eastAsia="仿宋" w:cs="仿宋"/>
          <w:b/>
          <w:bCs/>
          <w:color w:val="EE0000"/>
          <w:sz w:val="24"/>
          <w:highlight w:val="none"/>
          <w:lang w:eastAsia="zh-CN"/>
        </w:rPr>
        <w:t>，</w:t>
      </w:r>
      <w:r>
        <w:rPr>
          <w:rFonts w:hint="eastAsia" w:ascii="仿宋" w:hAnsi="仿宋" w:eastAsia="仿宋" w:cs="仿宋"/>
          <w:b/>
          <w:bCs/>
          <w:color w:val="EE0000"/>
          <w:sz w:val="24"/>
          <w:highlight w:val="none"/>
          <w:lang w:val="en-US" w:eastAsia="zh-CN"/>
        </w:rPr>
        <w:t>须单独提供承诺函；未提供视为无效响应</w:t>
      </w:r>
      <w:r>
        <w:rPr>
          <w:rFonts w:hint="eastAsia" w:ascii="仿宋" w:hAnsi="仿宋" w:eastAsia="仿宋" w:cs="仿宋"/>
          <w:b/>
          <w:bCs/>
          <w:color w:val="EE0000"/>
          <w:sz w:val="24"/>
          <w:highlight w:val="none"/>
        </w:rPr>
        <w:t>）加盖供应商公章佐证。</w:t>
      </w:r>
    </w:p>
    <w:p w14:paraId="56E8BE42">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14.特别说明</w:t>
      </w:r>
    </w:p>
    <w:p w14:paraId="64DFB40F">
      <w:pPr>
        <w:pStyle w:val="7"/>
        <w:keepNext w:val="0"/>
        <w:keepLines w:val="0"/>
        <w:pageBreakBefore w:val="0"/>
        <w:widowControl w:val="0"/>
        <w:kinsoku/>
        <w:wordWrap/>
        <w:overflowPunct/>
        <w:topLinePunct w:val="0"/>
        <w:autoSpaceDE/>
        <w:autoSpaceDN/>
        <w:bidi w:val="0"/>
        <w:adjustRightInd/>
        <w:snapToGrid/>
        <w:spacing w:after="0"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14.1成交人在项目实施或服务过程中发生的重大人员、产品质量事故，或因成交人管理不善等原因造成的人员伤亡等责任事故均由成交人负责，采购人不承担任何法律及经济责任。</w:t>
      </w:r>
    </w:p>
    <w:p w14:paraId="2B4E16D0">
      <w:pPr>
        <w:keepNext w:val="0"/>
        <w:keepLines w:val="0"/>
        <w:pageBreakBefore w:val="0"/>
        <w:widowControl w:val="0"/>
        <w:kinsoku/>
        <w:wordWrap/>
        <w:overflowPunct/>
        <w:topLinePunct w:val="0"/>
        <w:autoSpaceDE/>
        <w:autoSpaceDN/>
        <w:bidi w:val="0"/>
        <w:adjustRightInd/>
        <w:snapToGrid/>
        <w:spacing w:line="324"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15.未尽事宜，请与采购人联系。</w:t>
      </w:r>
    </w:p>
    <w:p w14:paraId="59F43617">
      <w:pPr>
        <w:keepNext w:val="0"/>
        <w:keepLines w:val="0"/>
        <w:pageBreakBefore w:val="0"/>
        <w:widowControl w:val="0"/>
        <w:kinsoku/>
        <w:wordWrap/>
        <w:overflowPunct/>
        <w:topLinePunct w:val="0"/>
        <w:autoSpaceDE/>
        <w:autoSpaceDN/>
        <w:bidi w:val="0"/>
        <w:adjustRightInd/>
        <w:snapToGrid/>
        <w:spacing w:line="324" w:lineRule="auto"/>
        <w:ind w:firstLine="482"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b/>
          <w:bCs/>
          <w:sz w:val="24"/>
          <w:highlight w:val="none"/>
        </w:rPr>
        <w:t>注：以上商务条款为最低指标，供应商必须全部响应(满足或优于商务要求)</w:t>
      </w:r>
    </w:p>
    <w:p w14:paraId="0BFF810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p>
    <w:p w14:paraId="30B5693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p>
    <w:p w14:paraId="23F7F11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本人作为响应人人法人代表，清楚知晓我单位参与（开标时间）</w:t>
      </w:r>
      <w:r>
        <w:rPr>
          <w:rFonts w:hint="eastAsia" w:ascii="仿宋" w:hAnsi="仿宋" w:eastAsia="仿宋" w:cs="仿宋"/>
          <w:sz w:val="24"/>
          <w:szCs w:val="32"/>
          <w:highlight w:val="none"/>
          <w:u w:val="single"/>
          <w:lang w:val="en-US" w:eastAsia="zh-CN"/>
        </w:rPr>
        <w:t xml:space="preserve">   </w:t>
      </w:r>
      <w:r>
        <w:rPr>
          <w:rFonts w:hint="eastAsia" w:ascii="仿宋" w:hAnsi="仿宋" w:eastAsia="仿宋" w:cs="仿宋"/>
          <w:sz w:val="24"/>
          <w:szCs w:val="32"/>
          <w:highlight w:val="none"/>
          <w:lang w:val="en-US" w:eastAsia="zh-CN"/>
        </w:rPr>
        <w:t>年</w:t>
      </w:r>
      <w:r>
        <w:rPr>
          <w:rFonts w:hint="eastAsia" w:ascii="仿宋" w:hAnsi="仿宋" w:eastAsia="仿宋" w:cs="仿宋"/>
          <w:sz w:val="24"/>
          <w:szCs w:val="32"/>
          <w:highlight w:val="none"/>
          <w:u w:val="single"/>
          <w:lang w:val="en-US" w:eastAsia="zh-CN"/>
        </w:rPr>
        <w:t xml:space="preserve">   </w:t>
      </w:r>
      <w:r>
        <w:rPr>
          <w:rFonts w:hint="eastAsia" w:ascii="仿宋" w:hAnsi="仿宋" w:eastAsia="仿宋" w:cs="仿宋"/>
          <w:sz w:val="24"/>
          <w:szCs w:val="32"/>
          <w:highlight w:val="none"/>
          <w:lang w:val="en-US" w:eastAsia="zh-CN"/>
        </w:rPr>
        <w:t>月</w:t>
      </w:r>
      <w:r>
        <w:rPr>
          <w:rFonts w:hint="eastAsia" w:ascii="仿宋" w:hAnsi="仿宋" w:eastAsia="仿宋" w:cs="仿宋"/>
          <w:sz w:val="24"/>
          <w:szCs w:val="32"/>
          <w:highlight w:val="none"/>
          <w:u w:val="single"/>
          <w:lang w:val="en-US" w:eastAsia="zh-CN"/>
        </w:rPr>
        <w:t xml:space="preserve">   </w:t>
      </w:r>
      <w:r>
        <w:rPr>
          <w:rFonts w:hint="eastAsia" w:ascii="仿宋" w:hAnsi="仿宋" w:eastAsia="仿宋" w:cs="仿宋"/>
          <w:sz w:val="24"/>
          <w:szCs w:val="32"/>
          <w:highlight w:val="none"/>
          <w:lang w:val="en-US" w:eastAsia="zh-CN"/>
        </w:rPr>
        <w:t>日，本项目（项目名称、项目编号）</w:t>
      </w:r>
      <w:r>
        <w:rPr>
          <w:rFonts w:hint="eastAsia" w:ascii="仿宋" w:hAnsi="仿宋" w:eastAsia="仿宋" w:cs="仿宋"/>
          <w:sz w:val="24"/>
          <w:szCs w:val="32"/>
          <w:highlight w:val="none"/>
          <w:u w:val="single"/>
          <w:lang w:val="en-US" w:eastAsia="zh-CN"/>
        </w:rPr>
        <w:t xml:space="preserve">                       </w:t>
      </w:r>
      <w:r>
        <w:rPr>
          <w:rFonts w:hint="eastAsia" w:ascii="仿宋" w:hAnsi="仿宋" w:eastAsia="仿宋" w:cs="仿宋"/>
          <w:sz w:val="24"/>
          <w:szCs w:val="32"/>
          <w:highlight w:val="none"/>
          <w:lang w:val="en-US" w:eastAsia="zh-CN"/>
        </w:rPr>
        <w:t>的投标活动，对以上事项作出承诺：</w:t>
      </w:r>
    </w:p>
    <w:p w14:paraId="5F3C6E1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我单位响应以上所有商务条款并遵循公开、公平、公正、诚实守信的原则，依法依规参与本项目的投标。</w:t>
      </w:r>
    </w:p>
    <w:p w14:paraId="5BCD26B8">
      <w:pPr>
        <w:keepNext w:val="0"/>
        <w:keepLines w:val="0"/>
        <w:pageBreakBefore w:val="0"/>
        <w:kinsoku/>
        <w:wordWrap/>
        <w:overflowPunct/>
        <w:topLinePunct w:val="0"/>
        <w:autoSpaceDE/>
        <w:autoSpaceDN/>
        <w:bidi w:val="0"/>
        <w:adjustRightInd/>
        <w:snapToGrid/>
        <w:spacing w:line="360" w:lineRule="auto"/>
        <w:ind w:firstLine="480" w:firstLineChars="200"/>
        <w:jc w:val="right"/>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 xml:space="preserve">                          </w:t>
      </w:r>
    </w:p>
    <w:p w14:paraId="79F5B536">
      <w:pPr>
        <w:keepNext w:val="0"/>
        <w:keepLines w:val="0"/>
        <w:pageBreakBefore w:val="0"/>
        <w:kinsoku/>
        <w:wordWrap/>
        <w:overflowPunct/>
        <w:topLinePunct w:val="0"/>
        <w:autoSpaceDE/>
        <w:autoSpaceDN/>
        <w:bidi w:val="0"/>
        <w:adjustRightInd/>
        <w:snapToGrid/>
        <w:spacing w:line="360" w:lineRule="auto"/>
        <w:ind w:firstLine="480" w:firstLineChars="200"/>
        <w:jc w:val="right"/>
        <w:textAlignment w:val="auto"/>
        <w:rPr>
          <w:rFonts w:hint="eastAsia" w:ascii="仿宋" w:hAnsi="仿宋" w:eastAsia="仿宋" w:cs="仿宋"/>
          <w:sz w:val="24"/>
          <w:szCs w:val="32"/>
          <w:highlight w:val="none"/>
          <w:lang w:val="en-US" w:eastAsia="zh-CN"/>
        </w:rPr>
      </w:pPr>
    </w:p>
    <w:p w14:paraId="084437AB">
      <w:pPr>
        <w:keepNext w:val="0"/>
        <w:keepLines w:val="0"/>
        <w:pageBreakBefore w:val="0"/>
        <w:kinsoku/>
        <w:wordWrap/>
        <w:overflowPunct/>
        <w:topLinePunct w:val="0"/>
        <w:autoSpaceDE/>
        <w:autoSpaceDN/>
        <w:bidi w:val="0"/>
        <w:adjustRightInd/>
        <w:snapToGrid/>
        <w:spacing w:line="360" w:lineRule="auto"/>
        <w:ind w:firstLine="480" w:firstLineChars="200"/>
        <w:jc w:val="right"/>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法定代表人（或授权委托人）签字或章：</w:t>
      </w:r>
    </w:p>
    <w:p w14:paraId="62D0D459">
      <w:pPr>
        <w:jc w:val="right"/>
        <w:rPr>
          <w:rFonts w:hint="eastAsia" w:ascii="仿宋" w:hAnsi="仿宋" w:eastAsia="仿宋" w:cs="仿宋"/>
          <w:sz w:val="24"/>
          <w:highlight w:val="none"/>
          <w:u w:val="single"/>
        </w:rPr>
      </w:pPr>
      <w:r>
        <w:rPr>
          <w:rFonts w:hint="eastAsia" w:ascii="仿宋" w:hAnsi="仿宋" w:eastAsia="仿宋" w:cs="仿宋"/>
          <w:sz w:val="24"/>
          <w:szCs w:val="32"/>
          <w:highlight w:val="none"/>
          <w:lang w:val="en-US" w:eastAsia="zh-CN"/>
        </w:rPr>
        <w:t xml:space="preserve"> 响应单位（盖章）：</w:t>
      </w:r>
      <w:r>
        <w:rPr>
          <w:rFonts w:hint="eastAsia" w:ascii="仿宋" w:hAnsi="仿宋" w:eastAsia="仿宋" w:cs="仿宋"/>
          <w:sz w:val="24"/>
          <w:highlight w:val="none"/>
          <w:u w:val="single"/>
        </w:rPr>
        <w:br w:type="page"/>
      </w:r>
    </w:p>
    <w:p w14:paraId="6A309460">
      <w:pPr>
        <w:pStyle w:val="4"/>
        <w:jc w:val="center"/>
        <w:rPr>
          <w:rFonts w:hint="eastAsia" w:ascii="仿宋" w:hAnsi="仿宋" w:eastAsia="仿宋" w:cs="仿宋"/>
          <w:highlight w:val="none"/>
        </w:rPr>
      </w:pPr>
      <w:bookmarkStart w:id="222" w:name="_Toc3339"/>
      <w:bookmarkStart w:id="223" w:name="_Toc28878"/>
      <w:bookmarkStart w:id="224" w:name="_Toc28209"/>
      <w:bookmarkStart w:id="225" w:name="_Toc475970893"/>
      <w:bookmarkStart w:id="226" w:name="_Toc13092"/>
      <w:bookmarkStart w:id="227" w:name="_Toc12147"/>
      <w:bookmarkStart w:id="228" w:name="_Toc13968"/>
      <w:bookmarkStart w:id="229" w:name="_Toc377477463"/>
      <w:r>
        <w:rPr>
          <w:rFonts w:hint="eastAsia" w:ascii="仿宋" w:hAnsi="仿宋" w:eastAsia="仿宋" w:cs="仿宋"/>
          <w:sz w:val="28"/>
          <w:szCs w:val="28"/>
          <w:highlight w:val="none"/>
        </w:rPr>
        <w:t>6</w:t>
      </w:r>
      <w:bookmarkStart w:id="230" w:name="_Toc463859539"/>
      <w:r>
        <w:rPr>
          <w:rFonts w:hint="eastAsia" w:ascii="仿宋" w:hAnsi="仿宋" w:eastAsia="仿宋" w:cs="仿宋"/>
          <w:sz w:val="28"/>
          <w:szCs w:val="28"/>
          <w:highlight w:val="none"/>
        </w:rPr>
        <w:t>、其他资料</w:t>
      </w:r>
      <w:bookmarkEnd w:id="222"/>
      <w:bookmarkEnd w:id="223"/>
      <w:bookmarkEnd w:id="224"/>
      <w:bookmarkEnd w:id="225"/>
      <w:bookmarkEnd w:id="226"/>
      <w:bookmarkEnd w:id="227"/>
      <w:bookmarkEnd w:id="228"/>
      <w:bookmarkEnd w:id="230"/>
    </w:p>
    <w:bookmarkEnd w:id="229"/>
    <w:p w14:paraId="3AA6BBF1">
      <w:pPr>
        <w:spacing w:line="360" w:lineRule="auto"/>
        <w:jc w:val="center"/>
        <w:rPr>
          <w:rFonts w:hint="eastAsia" w:ascii="仿宋" w:hAnsi="仿宋" w:eastAsia="仿宋" w:cs="仿宋"/>
          <w:sz w:val="24"/>
          <w:highlight w:val="none"/>
        </w:rPr>
      </w:pPr>
      <w:bookmarkStart w:id="231" w:name="_Toc463859540"/>
      <w:bookmarkStart w:id="232" w:name="_Toc475970894"/>
      <w:r>
        <w:rPr>
          <w:rFonts w:hint="eastAsia" w:ascii="仿宋" w:hAnsi="仿宋" w:eastAsia="仿宋" w:cs="仿宋"/>
          <w:b/>
          <w:bCs/>
          <w:sz w:val="24"/>
          <w:highlight w:val="none"/>
        </w:rPr>
        <w:t>6-1. 供应商情况一览表</w:t>
      </w:r>
      <w:bookmarkEnd w:id="231"/>
      <w:bookmarkEnd w:id="232"/>
    </w:p>
    <w:p w14:paraId="160AC395">
      <w:pPr>
        <w:spacing w:line="360" w:lineRule="auto"/>
        <w:jc w:val="center"/>
        <w:rPr>
          <w:rFonts w:hint="eastAsia" w:ascii="仿宋" w:hAnsi="仿宋" w:eastAsia="仿宋" w:cs="仿宋"/>
          <w:highlight w:val="none"/>
        </w:rPr>
      </w:pPr>
      <w:r>
        <w:rPr>
          <w:rFonts w:hint="eastAsia" w:ascii="仿宋" w:hAnsi="仿宋" w:eastAsia="仿宋" w:cs="仿宋"/>
          <w:sz w:val="24"/>
          <w:highlight w:val="none"/>
        </w:rPr>
        <w:t>（注：自然人参与询价活动不需提供）</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6"/>
        <w:gridCol w:w="995"/>
        <w:gridCol w:w="1242"/>
        <w:gridCol w:w="749"/>
        <w:gridCol w:w="505"/>
        <w:gridCol w:w="1350"/>
        <w:gridCol w:w="764"/>
        <w:gridCol w:w="1241"/>
      </w:tblGrid>
      <w:tr w14:paraId="7D7B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9" w:hRule="atLeast"/>
          <w:jc w:val="center"/>
        </w:trPr>
        <w:tc>
          <w:tcPr>
            <w:tcW w:w="1676" w:type="dxa"/>
            <w:vAlign w:val="center"/>
          </w:tcPr>
          <w:p w14:paraId="194A7A2E">
            <w:pPr>
              <w:spacing w:line="360" w:lineRule="auto"/>
              <w:rPr>
                <w:rFonts w:hint="eastAsia" w:ascii="仿宋" w:hAnsi="仿宋" w:eastAsia="仿宋" w:cs="仿宋"/>
                <w:sz w:val="24"/>
                <w:highlight w:val="none"/>
              </w:rPr>
            </w:pPr>
            <w:r>
              <w:rPr>
                <w:rFonts w:hint="eastAsia" w:ascii="仿宋" w:hAnsi="仿宋" w:eastAsia="仿宋" w:cs="仿宋"/>
                <w:sz w:val="24"/>
                <w:highlight w:val="none"/>
              </w:rPr>
              <w:t>供应商名称</w:t>
            </w:r>
          </w:p>
        </w:tc>
        <w:tc>
          <w:tcPr>
            <w:tcW w:w="6846" w:type="dxa"/>
            <w:gridSpan w:val="7"/>
            <w:vAlign w:val="center"/>
          </w:tcPr>
          <w:p w14:paraId="5DF0038E">
            <w:pPr>
              <w:spacing w:line="360" w:lineRule="auto"/>
              <w:rPr>
                <w:rFonts w:hint="eastAsia" w:ascii="仿宋" w:hAnsi="仿宋" w:eastAsia="仿宋" w:cs="仿宋"/>
                <w:sz w:val="24"/>
                <w:highlight w:val="none"/>
              </w:rPr>
            </w:pPr>
          </w:p>
        </w:tc>
      </w:tr>
      <w:tr w14:paraId="5805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Align w:val="center"/>
          </w:tcPr>
          <w:p w14:paraId="33CA1C63">
            <w:pPr>
              <w:spacing w:line="360" w:lineRule="auto"/>
              <w:rPr>
                <w:rFonts w:hint="eastAsia" w:ascii="仿宋" w:hAnsi="仿宋" w:eastAsia="仿宋" w:cs="仿宋"/>
                <w:sz w:val="24"/>
                <w:highlight w:val="none"/>
              </w:rPr>
            </w:pPr>
            <w:r>
              <w:rPr>
                <w:rFonts w:hint="eastAsia" w:ascii="仿宋" w:hAnsi="仿宋" w:eastAsia="仿宋" w:cs="仿宋"/>
                <w:sz w:val="24"/>
                <w:highlight w:val="none"/>
              </w:rPr>
              <w:t>注册地址</w:t>
            </w:r>
          </w:p>
        </w:tc>
        <w:tc>
          <w:tcPr>
            <w:tcW w:w="3491" w:type="dxa"/>
            <w:gridSpan w:val="4"/>
            <w:vAlign w:val="center"/>
          </w:tcPr>
          <w:p w14:paraId="29D1CA4A">
            <w:pPr>
              <w:spacing w:line="360" w:lineRule="auto"/>
              <w:rPr>
                <w:rFonts w:hint="eastAsia" w:ascii="仿宋" w:hAnsi="仿宋" w:eastAsia="仿宋" w:cs="仿宋"/>
                <w:sz w:val="24"/>
                <w:highlight w:val="none"/>
              </w:rPr>
            </w:pPr>
          </w:p>
        </w:tc>
        <w:tc>
          <w:tcPr>
            <w:tcW w:w="1350" w:type="dxa"/>
            <w:vAlign w:val="center"/>
          </w:tcPr>
          <w:p w14:paraId="6BE3B244">
            <w:pPr>
              <w:spacing w:line="360" w:lineRule="auto"/>
              <w:rPr>
                <w:rFonts w:hint="eastAsia" w:ascii="仿宋" w:hAnsi="仿宋" w:eastAsia="仿宋" w:cs="仿宋"/>
                <w:sz w:val="24"/>
                <w:highlight w:val="none"/>
              </w:rPr>
            </w:pPr>
            <w:r>
              <w:rPr>
                <w:rFonts w:hint="eastAsia" w:ascii="仿宋" w:hAnsi="仿宋" w:eastAsia="仿宋" w:cs="仿宋"/>
                <w:sz w:val="24"/>
                <w:highlight w:val="none"/>
              </w:rPr>
              <w:t>邮政编码</w:t>
            </w:r>
          </w:p>
        </w:tc>
        <w:tc>
          <w:tcPr>
            <w:tcW w:w="2005" w:type="dxa"/>
            <w:gridSpan w:val="2"/>
            <w:vAlign w:val="center"/>
          </w:tcPr>
          <w:p w14:paraId="735C5A0A">
            <w:pPr>
              <w:spacing w:line="360" w:lineRule="auto"/>
              <w:rPr>
                <w:rFonts w:hint="eastAsia" w:ascii="仿宋" w:hAnsi="仿宋" w:eastAsia="仿宋" w:cs="仿宋"/>
                <w:sz w:val="24"/>
                <w:highlight w:val="none"/>
              </w:rPr>
            </w:pPr>
          </w:p>
        </w:tc>
      </w:tr>
      <w:tr w14:paraId="76E6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restart"/>
            <w:vAlign w:val="center"/>
          </w:tcPr>
          <w:p w14:paraId="3FEAB932">
            <w:pPr>
              <w:spacing w:line="360" w:lineRule="auto"/>
              <w:rPr>
                <w:rFonts w:hint="eastAsia" w:ascii="仿宋" w:hAnsi="仿宋" w:eastAsia="仿宋" w:cs="仿宋"/>
                <w:sz w:val="24"/>
                <w:highlight w:val="none"/>
              </w:rPr>
            </w:pPr>
            <w:r>
              <w:rPr>
                <w:rFonts w:hint="eastAsia" w:ascii="仿宋" w:hAnsi="仿宋" w:eastAsia="仿宋" w:cs="仿宋"/>
                <w:sz w:val="24"/>
                <w:highlight w:val="none"/>
              </w:rPr>
              <w:t>联系方式</w:t>
            </w:r>
          </w:p>
        </w:tc>
        <w:tc>
          <w:tcPr>
            <w:tcW w:w="995" w:type="dxa"/>
            <w:vAlign w:val="center"/>
          </w:tcPr>
          <w:p w14:paraId="2B521E3C">
            <w:pPr>
              <w:spacing w:line="360" w:lineRule="auto"/>
              <w:rPr>
                <w:rFonts w:hint="eastAsia" w:ascii="仿宋" w:hAnsi="仿宋" w:eastAsia="仿宋" w:cs="仿宋"/>
                <w:sz w:val="24"/>
                <w:highlight w:val="none"/>
              </w:rPr>
            </w:pPr>
            <w:r>
              <w:rPr>
                <w:rFonts w:hint="eastAsia" w:ascii="仿宋" w:hAnsi="仿宋" w:eastAsia="仿宋" w:cs="仿宋"/>
                <w:sz w:val="24"/>
                <w:highlight w:val="none"/>
              </w:rPr>
              <w:t>联系人</w:t>
            </w:r>
          </w:p>
        </w:tc>
        <w:tc>
          <w:tcPr>
            <w:tcW w:w="2496" w:type="dxa"/>
            <w:gridSpan w:val="3"/>
            <w:vAlign w:val="center"/>
          </w:tcPr>
          <w:p w14:paraId="66DB469D">
            <w:pPr>
              <w:spacing w:line="360" w:lineRule="auto"/>
              <w:rPr>
                <w:rFonts w:hint="eastAsia" w:ascii="仿宋" w:hAnsi="仿宋" w:eastAsia="仿宋" w:cs="仿宋"/>
                <w:sz w:val="24"/>
                <w:highlight w:val="none"/>
              </w:rPr>
            </w:pPr>
          </w:p>
        </w:tc>
        <w:tc>
          <w:tcPr>
            <w:tcW w:w="1350" w:type="dxa"/>
            <w:vAlign w:val="center"/>
          </w:tcPr>
          <w:p w14:paraId="15996C0E">
            <w:pPr>
              <w:spacing w:line="360" w:lineRule="auto"/>
              <w:rPr>
                <w:rFonts w:hint="eastAsia" w:ascii="仿宋" w:hAnsi="仿宋" w:eastAsia="仿宋" w:cs="仿宋"/>
                <w:sz w:val="24"/>
                <w:highlight w:val="none"/>
              </w:rPr>
            </w:pPr>
            <w:r>
              <w:rPr>
                <w:rFonts w:hint="eastAsia" w:ascii="仿宋" w:hAnsi="仿宋" w:eastAsia="仿宋" w:cs="仿宋"/>
                <w:sz w:val="24"/>
                <w:highlight w:val="none"/>
              </w:rPr>
              <w:t>联系电话</w:t>
            </w:r>
          </w:p>
        </w:tc>
        <w:tc>
          <w:tcPr>
            <w:tcW w:w="2005" w:type="dxa"/>
            <w:gridSpan w:val="2"/>
            <w:vAlign w:val="center"/>
          </w:tcPr>
          <w:p w14:paraId="264398A8">
            <w:pPr>
              <w:spacing w:line="360" w:lineRule="auto"/>
              <w:rPr>
                <w:rFonts w:hint="eastAsia" w:ascii="仿宋" w:hAnsi="仿宋" w:eastAsia="仿宋" w:cs="仿宋"/>
                <w:sz w:val="24"/>
                <w:highlight w:val="none"/>
              </w:rPr>
            </w:pPr>
          </w:p>
        </w:tc>
      </w:tr>
      <w:tr w14:paraId="537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vAlign w:val="center"/>
          </w:tcPr>
          <w:p w14:paraId="5D8F4654">
            <w:pPr>
              <w:spacing w:line="360" w:lineRule="auto"/>
              <w:rPr>
                <w:rFonts w:hint="eastAsia" w:ascii="仿宋" w:hAnsi="仿宋" w:eastAsia="仿宋" w:cs="仿宋"/>
                <w:sz w:val="24"/>
                <w:highlight w:val="none"/>
              </w:rPr>
            </w:pPr>
          </w:p>
        </w:tc>
        <w:tc>
          <w:tcPr>
            <w:tcW w:w="995" w:type="dxa"/>
            <w:vAlign w:val="center"/>
          </w:tcPr>
          <w:p w14:paraId="1EF0AACD">
            <w:pPr>
              <w:spacing w:line="360" w:lineRule="auto"/>
              <w:rPr>
                <w:rFonts w:hint="eastAsia" w:ascii="仿宋" w:hAnsi="仿宋" w:eastAsia="仿宋" w:cs="仿宋"/>
                <w:sz w:val="24"/>
                <w:highlight w:val="none"/>
              </w:rPr>
            </w:pPr>
            <w:r>
              <w:rPr>
                <w:rFonts w:hint="eastAsia" w:ascii="仿宋" w:hAnsi="仿宋" w:eastAsia="仿宋" w:cs="仿宋"/>
                <w:sz w:val="24"/>
                <w:highlight w:val="none"/>
              </w:rPr>
              <w:t>传  真</w:t>
            </w:r>
          </w:p>
        </w:tc>
        <w:tc>
          <w:tcPr>
            <w:tcW w:w="2496" w:type="dxa"/>
            <w:gridSpan w:val="3"/>
            <w:vAlign w:val="center"/>
          </w:tcPr>
          <w:p w14:paraId="701D9E18">
            <w:pPr>
              <w:spacing w:line="360" w:lineRule="auto"/>
              <w:rPr>
                <w:rFonts w:hint="eastAsia" w:ascii="仿宋" w:hAnsi="仿宋" w:eastAsia="仿宋" w:cs="仿宋"/>
                <w:sz w:val="24"/>
                <w:highlight w:val="none"/>
              </w:rPr>
            </w:pPr>
          </w:p>
        </w:tc>
        <w:tc>
          <w:tcPr>
            <w:tcW w:w="1350" w:type="dxa"/>
            <w:vAlign w:val="center"/>
          </w:tcPr>
          <w:p w14:paraId="4A053BF5">
            <w:pPr>
              <w:spacing w:line="360" w:lineRule="auto"/>
              <w:rPr>
                <w:rFonts w:hint="eastAsia" w:ascii="仿宋" w:hAnsi="仿宋" w:eastAsia="仿宋" w:cs="仿宋"/>
                <w:sz w:val="24"/>
                <w:highlight w:val="none"/>
              </w:rPr>
            </w:pPr>
            <w:r>
              <w:rPr>
                <w:rFonts w:hint="eastAsia" w:ascii="仿宋" w:hAnsi="仿宋" w:eastAsia="仿宋" w:cs="仿宋"/>
                <w:sz w:val="24"/>
                <w:highlight w:val="none"/>
              </w:rPr>
              <w:t>网址/邮箱</w:t>
            </w:r>
          </w:p>
        </w:tc>
        <w:tc>
          <w:tcPr>
            <w:tcW w:w="2005" w:type="dxa"/>
            <w:gridSpan w:val="2"/>
            <w:vAlign w:val="center"/>
          </w:tcPr>
          <w:p w14:paraId="3F6848CD">
            <w:pPr>
              <w:spacing w:line="360" w:lineRule="auto"/>
              <w:rPr>
                <w:rFonts w:hint="eastAsia" w:ascii="仿宋" w:hAnsi="仿宋" w:eastAsia="仿宋" w:cs="仿宋"/>
                <w:sz w:val="24"/>
                <w:highlight w:val="none"/>
              </w:rPr>
            </w:pPr>
          </w:p>
        </w:tc>
      </w:tr>
      <w:tr w14:paraId="6881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676" w:type="dxa"/>
            <w:vAlign w:val="center"/>
          </w:tcPr>
          <w:p w14:paraId="5F74E786">
            <w:pPr>
              <w:spacing w:line="360" w:lineRule="auto"/>
              <w:rPr>
                <w:rFonts w:hint="eastAsia" w:ascii="仿宋" w:hAnsi="仿宋" w:eastAsia="仿宋" w:cs="仿宋"/>
                <w:sz w:val="24"/>
                <w:highlight w:val="none"/>
              </w:rPr>
            </w:pPr>
            <w:r>
              <w:rPr>
                <w:rFonts w:hint="eastAsia" w:ascii="仿宋" w:hAnsi="仿宋" w:eastAsia="仿宋" w:cs="仿宋"/>
                <w:sz w:val="24"/>
                <w:highlight w:val="none"/>
              </w:rPr>
              <w:t>法定代表人（或经营者）</w:t>
            </w:r>
          </w:p>
        </w:tc>
        <w:tc>
          <w:tcPr>
            <w:tcW w:w="995" w:type="dxa"/>
            <w:vAlign w:val="center"/>
          </w:tcPr>
          <w:p w14:paraId="636179E8">
            <w:pPr>
              <w:spacing w:line="360" w:lineRule="auto"/>
              <w:rPr>
                <w:rFonts w:hint="eastAsia" w:ascii="仿宋" w:hAnsi="仿宋" w:eastAsia="仿宋" w:cs="仿宋"/>
                <w:sz w:val="24"/>
                <w:highlight w:val="none"/>
              </w:rPr>
            </w:pPr>
            <w:r>
              <w:rPr>
                <w:rFonts w:hint="eastAsia" w:ascii="仿宋" w:hAnsi="仿宋" w:eastAsia="仿宋" w:cs="仿宋"/>
                <w:sz w:val="24"/>
                <w:highlight w:val="none"/>
              </w:rPr>
              <w:t>姓名</w:t>
            </w:r>
          </w:p>
        </w:tc>
        <w:tc>
          <w:tcPr>
            <w:tcW w:w="1242" w:type="dxa"/>
            <w:vAlign w:val="center"/>
          </w:tcPr>
          <w:p w14:paraId="1DB7E4E4">
            <w:pPr>
              <w:spacing w:line="360" w:lineRule="auto"/>
              <w:rPr>
                <w:rFonts w:hint="eastAsia" w:ascii="仿宋" w:hAnsi="仿宋" w:eastAsia="仿宋" w:cs="仿宋"/>
                <w:sz w:val="24"/>
                <w:highlight w:val="none"/>
              </w:rPr>
            </w:pPr>
          </w:p>
        </w:tc>
        <w:tc>
          <w:tcPr>
            <w:tcW w:w="1254" w:type="dxa"/>
            <w:gridSpan w:val="2"/>
            <w:vAlign w:val="center"/>
          </w:tcPr>
          <w:p w14:paraId="149352F0">
            <w:pPr>
              <w:spacing w:line="360" w:lineRule="auto"/>
              <w:rPr>
                <w:rFonts w:hint="eastAsia" w:ascii="仿宋" w:hAnsi="仿宋" w:eastAsia="仿宋" w:cs="仿宋"/>
                <w:sz w:val="24"/>
                <w:highlight w:val="none"/>
              </w:rPr>
            </w:pPr>
            <w:r>
              <w:rPr>
                <w:rFonts w:hint="eastAsia" w:ascii="仿宋" w:hAnsi="仿宋" w:eastAsia="仿宋" w:cs="仿宋"/>
                <w:sz w:val="24"/>
                <w:highlight w:val="none"/>
              </w:rPr>
              <w:t>技术职称</w:t>
            </w:r>
          </w:p>
        </w:tc>
        <w:tc>
          <w:tcPr>
            <w:tcW w:w="1350" w:type="dxa"/>
            <w:vAlign w:val="center"/>
          </w:tcPr>
          <w:p w14:paraId="6FBE2447">
            <w:pPr>
              <w:spacing w:line="360" w:lineRule="auto"/>
              <w:rPr>
                <w:rFonts w:hint="eastAsia" w:ascii="仿宋" w:hAnsi="仿宋" w:eastAsia="仿宋" w:cs="仿宋"/>
                <w:sz w:val="24"/>
                <w:highlight w:val="none"/>
              </w:rPr>
            </w:pPr>
          </w:p>
        </w:tc>
        <w:tc>
          <w:tcPr>
            <w:tcW w:w="764" w:type="dxa"/>
            <w:vAlign w:val="center"/>
          </w:tcPr>
          <w:p w14:paraId="4A012BFD">
            <w:pPr>
              <w:spacing w:line="360" w:lineRule="auto"/>
              <w:rPr>
                <w:rFonts w:hint="eastAsia" w:ascii="仿宋" w:hAnsi="仿宋" w:eastAsia="仿宋" w:cs="仿宋"/>
                <w:sz w:val="24"/>
                <w:highlight w:val="none"/>
              </w:rPr>
            </w:pPr>
            <w:r>
              <w:rPr>
                <w:rFonts w:hint="eastAsia" w:ascii="仿宋" w:hAnsi="仿宋" w:eastAsia="仿宋" w:cs="仿宋"/>
                <w:sz w:val="24"/>
                <w:highlight w:val="none"/>
              </w:rPr>
              <w:t>电话</w:t>
            </w:r>
          </w:p>
        </w:tc>
        <w:tc>
          <w:tcPr>
            <w:tcW w:w="1241" w:type="dxa"/>
            <w:vAlign w:val="center"/>
          </w:tcPr>
          <w:p w14:paraId="79D2F3C6">
            <w:pPr>
              <w:spacing w:line="360" w:lineRule="auto"/>
              <w:rPr>
                <w:rFonts w:hint="eastAsia" w:ascii="仿宋" w:hAnsi="仿宋" w:eastAsia="仿宋" w:cs="仿宋"/>
                <w:sz w:val="24"/>
                <w:highlight w:val="none"/>
              </w:rPr>
            </w:pPr>
          </w:p>
        </w:tc>
      </w:tr>
      <w:tr w14:paraId="262B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Align w:val="center"/>
          </w:tcPr>
          <w:p w14:paraId="714581BD">
            <w:pPr>
              <w:spacing w:line="360" w:lineRule="auto"/>
              <w:rPr>
                <w:rFonts w:hint="eastAsia" w:ascii="仿宋" w:hAnsi="仿宋" w:eastAsia="仿宋" w:cs="仿宋"/>
                <w:sz w:val="24"/>
                <w:highlight w:val="none"/>
              </w:rPr>
            </w:pPr>
            <w:r>
              <w:rPr>
                <w:rFonts w:hint="eastAsia" w:ascii="仿宋" w:hAnsi="仿宋" w:eastAsia="仿宋" w:cs="仿宋"/>
                <w:sz w:val="24"/>
                <w:highlight w:val="none"/>
              </w:rPr>
              <w:t>技术负责人</w:t>
            </w:r>
          </w:p>
        </w:tc>
        <w:tc>
          <w:tcPr>
            <w:tcW w:w="995" w:type="dxa"/>
            <w:vAlign w:val="center"/>
          </w:tcPr>
          <w:p w14:paraId="50074628">
            <w:pPr>
              <w:spacing w:line="360" w:lineRule="auto"/>
              <w:rPr>
                <w:rFonts w:hint="eastAsia" w:ascii="仿宋" w:hAnsi="仿宋" w:eastAsia="仿宋" w:cs="仿宋"/>
                <w:sz w:val="24"/>
                <w:highlight w:val="none"/>
              </w:rPr>
            </w:pPr>
            <w:r>
              <w:rPr>
                <w:rFonts w:hint="eastAsia" w:ascii="仿宋" w:hAnsi="仿宋" w:eastAsia="仿宋" w:cs="仿宋"/>
                <w:sz w:val="24"/>
                <w:highlight w:val="none"/>
              </w:rPr>
              <w:t>姓名</w:t>
            </w:r>
          </w:p>
        </w:tc>
        <w:tc>
          <w:tcPr>
            <w:tcW w:w="1242" w:type="dxa"/>
            <w:vAlign w:val="center"/>
          </w:tcPr>
          <w:p w14:paraId="536416C2">
            <w:pPr>
              <w:spacing w:line="360" w:lineRule="auto"/>
              <w:rPr>
                <w:rFonts w:hint="eastAsia" w:ascii="仿宋" w:hAnsi="仿宋" w:eastAsia="仿宋" w:cs="仿宋"/>
                <w:sz w:val="24"/>
                <w:highlight w:val="none"/>
              </w:rPr>
            </w:pPr>
          </w:p>
        </w:tc>
        <w:tc>
          <w:tcPr>
            <w:tcW w:w="1254" w:type="dxa"/>
            <w:gridSpan w:val="2"/>
            <w:vAlign w:val="center"/>
          </w:tcPr>
          <w:p w14:paraId="611B53F2">
            <w:pPr>
              <w:spacing w:line="360" w:lineRule="auto"/>
              <w:rPr>
                <w:rFonts w:hint="eastAsia" w:ascii="仿宋" w:hAnsi="仿宋" w:eastAsia="仿宋" w:cs="仿宋"/>
                <w:sz w:val="24"/>
                <w:highlight w:val="none"/>
              </w:rPr>
            </w:pPr>
            <w:r>
              <w:rPr>
                <w:rFonts w:hint="eastAsia" w:ascii="仿宋" w:hAnsi="仿宋" w:eastAsia="仿宋" w:cs="仿宋"/>
                <w:sz w:val="24"/>
                <w:highlight w:val="none"/>
              </w:rPr>
              <w:t>技术职称</w:t>
            </w:r>
          </w:p>
        </w:tc>
        <w:tc>
          <w:tcPr>
            <w:tcW w:w="1350" w:type="dxa"/>
            <w:vAlign w:val="center"/>
          </w:tcPr>
          <w:p w14:paraId="3D8BF058">
            <w:pPr>
              <w:spacing w:line="360" w:lineRule="auto"/>
              <w:rPr>
                <w:rFonts w:hint="eastAsia" w:ascii="仿宋" w:hAnsi="仿宋" w:eastAsia="仿宋" w:cs="仿宋"/>
                <w:sz w:val="24"/>
                <w:highlight w:val="none"/>
              </w:rPr>
            </w:pPr>
          </w:p>
        </w:tc>
        <w:tc>
          <w:tcPr>
            <w:tcW w:w="764" w:type="dxa"/>
            <w:vAlign w:val="center"/>
          </w:tcPr>
          <w:p w14:paraId="62500D87">
            <w:pPr>
              <w:spacing w:line="360" w:lineRule="auto"/>
              <w:rPr>
                <w:rFonts w:hint="eastAsia" w:ascii="仿宋" w:hAnsi="仿宋" w:eastAsia="仿宋" w:cs="仿宋"/>
                <w:sz w:val="24"/>
                <w:highlight w:val="none"/>
              </w:rPr>
            </w:pPr>
            <w:r>
              <w:rPr>
                <w:rFonts w:hint="eastAsia" w:ascii="仿宋" w:hAnsi="仿宋" w:eastAsia="仿宋" w:cs="仿宋"/>
                <w:sz w:val="24"/>
                <w:highlight w:val="none"/>
              </w:rPr>
              <w:t>电话</w:t>
            </w:r>
          </w:p>
        </w:tc>
        <w:tc>
          <w:tcPr>
            <w:tcW w:w="1241" w:type="dxa"/>
            <w:vAlign w:val="center"/>
          </w:tcPr>
          <w:p w14:paraId="19F81E06">
            <w:pPr>
              <w:spacing w:line="360" w:lineRule="auto"/>
              <w:rPr>
                <w:rFonts w:hint="eastAsia" w:ascii="仿宋" w:hAnsi="仿宋" w:eastAsia="仿宋" w:cs="仿宋"/>
                <w:sz w:val="24"/>
                <w:highlight w:val="none"/>
              </w:rPr>
            </w:pPr>
          </w:p>
        </w:tc>
      </w:tr>
      <w:tr w14:paraId="3DA3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Align w:val="center"/>
          </w:tcPr>
          <w:p w14:paraId="4D2DB053">
            <w:pPr>
              <w:spacing w:line="360" w:lineRule="auto"/>
              <w:rPr>
                <w:rFonts w:hint="eastAsia" w:ascii="仿宋" w:hAnsi="仿宋" w:eastAsia="仿宋" w:cs="仿宋"/>
                <w:sz w:val="24"/>
                <w:highlight w:val="none"/>
              </w:rPr>
            </w:pPr>
            <w:r>
              <w:rPr>
                <w:rFonts w:hint="eastAsia" w:ascii="仿宋" w:hAnsi="仿宋" w:eastAsia="仿宋" w:cs="仿宋"/>
                <w:sz w:val="24"/>
                <w:highlight w:val="none"/>
              </w:rPr>
              <w:t>成立时间</w:t>
            </w:r>
          </w:p>
        </w:tc>
        <w:tc>
          <w:tcPr>
            <w:tcW w:w="2237" w:type="dxa"/>
            <w:gridSpan w:val="2"/>
            <w:vAlign w:val="center"/>
          </w:tcPr>
          <w:p w14:paraId="2D9C2E58">
            <w:pPr>
              <w:spacing w:line="360" w:lineRule="auto"/>
              <w:rPr>
                <w:rFonts w:hint="eastAsia" w:ascii="仿宋" w:hAnsi="仿宋" w:eastAsia="仿宋" w:cs="仿宋"/>
                <w:sz w:val="24"/>
                <w:highlight w:val="none"/>
              </w:rPr>
            </w:pPr>
          </w:p>
        </w:tc>
        <w:tc>
          <w:tcPr>
            <w:tcW w:w="4609" w:type="dxa"/>
            <w:gridSpan w:val="5"/>
            <w:vAlign w:val="center"/>
          </w:tcPr>
          <w:p w14:paraId="4611C709">
            <w:pPr>
              <w:spacing w:line="360" w:lineRule="auto"/>
              <w:rPr>
                <w:rFonts w:hint="eastAsia" w:ascii="仿宋" w:hAnsi="仿宋" w:eastAsia="仿宋" w:cs="仿宋"/>
                <w:sz w:val="24"/>
                <w:highlight w:val="none"/>
              </w:rPr>
            </w:pPr>
            <w:r>
              <w:rPr>
                <w:rFonts w:hint="eastAsia" w:ascii="仿宋" w:hAnsi="仿宋" w:eastAsia="仿宋" w:cs="仿宋"/>
                <w:sz w:val="24"/>
                <w:highlight w:val="none"/>
              </w:rPr>
              <w:t>员工总人数：</w:t>
            </w:r>
          </w:p>
        </w:tc>
      </w:tr>
      <w:tr w14:paraId="16A6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Align w:val="center"/>
          </w:tcPr>
          <w:p w14:paraId="7CB4E462">
            <w:pPr>
              <w:spacing w:line="360" w:lineRule="auto"/>
              <w:rPr>
                <w:rFonts w:hint="eastAsia" w:ascii="仿宋" w:hAnsi="仿宋" w:eastAsia="仿宋" w:cs="仿宋"/>
                <w:sz w:val="24"/>
                <w:highlight w:val="none"/>
              </w:rPr>
            </w:pPr>
            <w:r>
              <w:rPr>
                <w:rFonts w:hint="eastAsia" w:ascii="仿宋" w:hAnsi="仿宋" w:eastAsia="仿宋" w:cs="仿宋"/>
                <w:sz w:val="24"/>
                <w:highlight w:val="none"/>
              </w:rPr>
              <w:t>营业执照号</w:t>
            </w:r>
          </w:p>
        </w:tc>
        <w:tc>
          <w:tcPr>
            <w:tcW w:w="2237" w:type="dxa"/>
            <w:gridSpan w:val="2"/>
            <w:vAlign w:val="center"/>
          </w:tcPr>
          <w:p w14:paraId="41A9EBE4">
            <w:pPr>
              <w:spacing w:line="360" w:lineRule="auto"/>
              <w:rPr>
                <w:rFonts w:hint="eastAsia" w:ascii="仿宋" w:hAnsi="仿宋" w:eastAsia="仿宋" w:cs="仿宋"/>
                <w:sz w:val="24"/>
                <w:highlight w:val="none"/>
              </w:rPr>
            </w:pPr>
          </w:p>
        </w:tc>
        <w:tc>
          <w:tcPr>
            <w:tcW w:w="749" w:type="dxa"/>
            <w:vMerge w:val="restart"/>
            <w:vAlign w:val="center"/>
          </w:tcPr>
          <w:p w14:paraId="3E0C378D">
            <w:pPr>
              <w:spacing w:line="360" w:lineRule="auto"/>
              <w:rPr>
                <w:rFonts w:hint="eastAsia" w:ascii="仿宋" w:hAnsi="仿宋" w:eastAsia="仿宋" w:cs="仿宋"/>
                <w:sz w:val="24"/>
                <w:highlight w:val="none"/>
              </w:rPr>
            </w:pPr>
            <w:r>
              <w:rPr>
                <w:rFonts w:hint="eastAsia" w:ascii="仿宋" w:hAnsi="仿宋" w:eastAsia="仿宋" w:cs="仿宋"/>
                <w:sz w:val="24"/>
                <w:highlight w:val="none"/>
              </w:rPr>
              <w:t>其中</w:t>
            </w:r>
          </w:p>
        </w:tc>
        <w:tc>
          <w:tcPr>
            <w:tcW w:w="1855" w:type="dxa"/>
            <w:gridSpan w:val="2"/>
            <w:vAlign w:val="center"/>
          </w:tcPr>
          <w:p w14:paraId="18642766">
            <w:pPr>
              <w:spacing w:line="360" w:lineRule="auto"/>
              <w:rPr>
                <w:rFonts w:hint="eastAsia" w:ascii="仿宋" w:hAnsi="仿宋" w:eastAsia="仿宋" w:cs="仿宋"/>
                <w:sz w:val="24"/>
                <w:highlight w:val="none"/>
              </w:rPr>
            </w:pPr>
            <w:r>
              <w:rPr>
                <w:rFonts w:hint="eastAsia" w:ascii="仿宋" w:hAnsi="仿宋" w:eastAsia="仿宋" w:cs="仿宋"/>
                <w:sz w:val="24"/>
                <w:highlight w:val="none"/>
              </w:rPr>
              <w:t>高级职称人员</w:t>
            </w:r>
          </w:p>
        </w:tc>
        <w:tc>
          <w:tcPr>
            <w:tcW w:w="2005" w:type="dxa"/>
            <w:gridSpan w:val="2"/>
            <w:vAlign w:val="center"/>
          </w:tcPr>
          <w:p w14:paraId="5C4462C9">
            <w:pPr>
              <w:spacing w:line="360" w:lineRule="auto"/>
              <w:rPr>
                <w:rFonts w:hint="eastAsia" w:ascii="仿宋" w:hAnsi="仿宋" w:eastAsia="仿宋" w:cs="仿宋"/>
                <w:sz w:val="24"/>
                <w:highlight w:val="none"/>
              </w:rPr>
            </w:pPr>
          </w:p>
        </w:tc>
      </w:tr>
      <w:tr w14:paraId="76C7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Align w:val="center"/>
          </w:tcPr>
          <w:p w14:paraId="0F4F1F58">
            <w:pPr>
              <w:spacing w:line="360" w:lineRule="auto"/>
              <w:rPr>
                <w:rFonts w:hint="eastAsia" w:ascii="仿宋" w:hAnsi="仿宋" w:eastAsia="仿宋" w:cs="仿宋"/>
                <w:sz w:val="24"/>
                <w:highlight w:val="none"/>
              </w:rPr>
            </w:pPr>
            <w:r>
              <w:rPr>
                <w:rFonts w:hint="eastAsia" w:ascii="仿宋" w:hAnsi="仿宋" w:eastAsia="仿宋" w:cs="仿宋"/>
                <w:sz w:val="24"/>
                <w:highlight w:val="none"/>
              </w:rPr>
              <w:t>注册资金</w:t>
            </w:r>
          </w:p>
        </w:tc>
        <w:tc>
          <w:tcPr>
            <w:tcW w:w="2237" w:type="dxa"/>
            <w:gridSpan w:val="2"/>
            <w:vAlign w:val="center"/>
          </w:tcPr>
          <w:p w14:paraId="32C20BE5">
            <w:pPr>
              <w:spacing w:line="360" w:lineRule="auto"/>
              <w:rPr>
                <w:rFonts w:hint="eastAsia" w:ascii="仿宋" w:hAnsi="仿宋" w:eastAsia="仿宋" w:cs="仿宋"/>
                <w:sz w:val="24"/>
                <w:highlight w:val="none"/>
              </w:rPr>
            </w:pPr>
          </w:p>
        </w:tc>
        <w:tc>
          <w:tcPr>
            <w:tcW w:w="749" w:type="dxa"/>
            <w:vMerge w:val="continue"/>
            <w:vAlign w:val="center"/>
          </w:tcPr>
          <w:p w14:paraId="49A31BC4">
            <w:pPr>
              <w:spacing w:line="360" w:lineRule="auto"/>
              <w:rPr>
                <w:rFonts w:hint="eastAsia" w:ascii="仿宋" w:hAnsi="仿宋" w:eastAsia="仿宋" w:cs="仿宋"/>
                <w:sz w:val="24"/>
                <w:highlight w:val="none"/>
              </w:rPr>
            </w:pPr>
          </w:p>
        </w:tc>
        <w:tc>
          <w:tcPr>
            <w:tcW w:w="1855" w:type="dxa"/>
            <w:gridSpan w:val="2"/>
            <w:vAlign w:val="center"/>
          </w:tcPr>
          <w:p w14:paraId="653517CE">
            <w:pPr>
              <w:spacing w:line="360" w:lineRule="auto"/>
              <w:rPr>
                <w:rFonts w:hint="eastAsia" w:ascii="仿宋" w:hAnsi="仿宋" w:eastAsia="仿宋" w:cs="仿宋"/>
                <w:sz w:val="24"/>
                <w:highlight w:val="none"/>
              </w:rPr>
            </w:pPr>
            <w:r>
              <w:rPr>
                <w:rFonts w:hint="eastAsia" w:ascii="仿宋" w:hAnsi="仿宋" w:eastAsia="仿宋" w:cs="仿宋"/>
                <w:sz w:val="24"/>
                <w:highlight w:val="none"/>
              </w:rPr>
              <w:t>中级职称人员</w:t>
            </w:r>
          </w:p>
        </w:tc>
        <w:tc>
          <w:tcPr>
            <w:tcW w:w="2005" w:type="dxa"/>
            <w:gridSpan w:val="2"/>
            <w:vAlign w:val="center"/>
          </w:tcPr>
          <w:p w14:paraId="63F5698F">
            <w:pPr>
              <w:spacing w:line="360" w:lineRule="auto"/>
              <w:rPr>
                <w:rFonts w:hint="eastAsia" w:ascii="仿宋" w:hAnsi="仿宋" w:eastAsia="仿宋" w:cs="仿宋"/>
                <w:sz w:val="24"/>
                <w:highlight w:val="none"/>
              </w:rPr>
            </w:pPr>
          </w:p>
        </w:tc>
      </w:tr>
      <w:tr w14:paraId="7DB3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Align w:val="center"/>
          </w:tcPr>
          <w:p w14:paraId="7B55B716">
            <w:pPr>
              <w:spacing w:line="360" w:lineRule="auto"/>
              <w:rPr>
                <w:rFonts w:hint="eastAsia" w:ascii="仿宋" w:hAnsi="仿宋" w:eastAsia="仿宋" w:cs="仿宋"/>
                <w:sz w:val="24"/>
                <w:highlight w:val="none"/>
              </w:rPr>
            </w:pPr>
            <w:r>
              <w:rPr>
                <w:rFonts w:hint="eastAsia" w:ascii="仿宋" w:hAnsi="仿宋" w:eastAsia="仿宋" w:cs="仿宋"/>
                <w:sz w:val="24"/>
                <w:highlight w:val="none"/>
              </w:rPr>
              <w:t>开户银行</w:t>
            </w:r>
          </w:p>
        </w:tc>
        <w:tc>
          <w:tcPr>
            <w:tcW w:w="2237" w:type="dxa"/>
            <w:gridSpan w:val="2"/>
            <w:vAlign w:val="center"/>
          </w:tcPr>
          <w:p w14:paraId="1BCF4000">
            <w:pPr>
              <w:spacing w:line="360" w:lineRule="auto"/>
              <w:rPr>
                <w:rFonts w:hint="eastAsia" w:ascii="仿宋" w:hAnsi="仿宋" w:eastAsia="仿宋" w:cs="仿宋"/>
                <w:sz w:val="24"/>
                <w:highlight w:val="none"/>
              </w:rPr>
            </w:pPr>
          </w:p>
        </w:tc>
        <w:tc>
          <w:tcPr>
            <w:tcW w:w="749" w:type="dxa"/>
            <w:vMerge w:val="continue"/>
            <w:vAlign w:val="center"/>
          </w:tcPr>
          <w:p w14:paraId="26134351">
            <w:pPr>
              <w:spacing w:line="360" w:lineRule="auto"/>
              <w:rPr>
                <w:rFonts w:hint="eastAsia" w:ascii="仿宋" w:hAnsi="仿宋" w:eastAsia="仿宋" w:cs="仿宋"/>
                <w:sz w:val="24"/>
                <w:highlight w:val="none"/>
              </w:rPr>
            </w:pPr>
          </w:p>
        </w:tc>
        <w:tc>
          <w:tcPr>
            <w:tcW w:w="1855" w:type="dxa"/>
            <w:gridSpan w:val="2"/>
            <w:vAlign w:val="center"/>
          </w:tcPr>
          <w:p w14:paraId="57364C47">
            <w:pPr>
              <w:spacing w:line="360" w:lineRule="auto"/>
              <w:rPr>
                <w:rFonts w:hint="eastAsia" w:ascii="仿宋" w:hAnsi="仿宋" w:eastAsia="仿宋" w:cs="仿宋"/>
                <w:sz w:val="24"/>
                <w:highlight w:val="none"/>
              </w:rPr>
            </w:pPr>
            <w:r>
              <w:rPr>
                <w:rFonts w:hint="eastAsia" w:ascii="仿宋" w:hAnsi="仿宋" w:eastAsia="仿宋" w:cs="仿宋"/>
                <w:sz w:val="24"/>
                <w:highlight w:val="none"/>
              </w:rPr>
              <w:t>初级职称人员</w:t>
            </w:r>
          </w:p>
        </w:tc>
        <w:tc>
          <w:tcPr>
            <w:tcW w:w="2005" w:type="dxa"/>
            <w:gridSpan w:val="2"/>
            <w:vAlign w:val="center"/>
          </w:tcPr>
          <w:p w14:paraId="7F573EED">
            <w:pPr>
              <w:spacing w:line="360" w:lineRule="auto"/>
              <w:rPr>
                <w:rFonts w:hint="eastAsia" w:ascii="仿宋" w:hAnsi="仿宋" w:eastAsia="仿宋" w:cs="仿宋"/>
                <w:sz w:val="24"/>
                <w:highlight w:val="none"/>
              </w:rPr>
            </w:pPr>
          </w:p>
        </w:tc>
      </w:tr>
      <w:tr w14:paraId="238B7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Align w:val="center"/>
          </w:tcPr>
          <w:p w14:paraId="5848CD99">
            <w:pPr>
              <w:spacing w:line="360" w:lineRule="auto"/>
              <w:rPr>
                <w:rFonts w:hint="eastAsia" w:ascii="仿宋" w:hAnsi="仿宋" w:eastAsia="仿宋" w:cs="仿宋"/>
                <w:sz w:val="24"/>
                <w:highlight w:val="none"/>
              </w:rPr>
            </w:pPr>
            <w:r>
              <w:rPr>
                <w:rFonts w:hint="eastAsia" w:ascii="仿宋" w:hAnsi="仿宋" w:eastAsia="仿宋" w:cs="仿宋"/>
                <w:sz w:val="24"/>
                <w:highlight w:val="none"/>
              </w:rPr>
              <w:t>银行账号</w:t>
            </w:r>
          </w:p>
        </w:tc>
        <w:tc>
          <w:tcPr>
            <w:tcW w:w="2237" w:type="dxa"/>
            <w:gridSpan w:val="2"/>
            <w:vAlign w:val="center"/>
          </w:tcPr>
          <w:p w14:paraId="6AC2412D">
            <w:pPr>
              <w:spacing w:line="360" w:lineRule="auto"/>
              <w:rPr>
                <w:rFonts w:hint="eastAsia" w:ascii="仿宋" w:hAnsi="仿宋" w:eastAsia="仿宋" w:cs="仿宋"/>
                <w:sz w:val="24"/>
                <w:highlight w:val="none"/>
              </w:rPr>
            </w:pPr>
          </w:p>
        </w:tc>
        <w:tc>
          <w:tcPr>
            <w:tcW w:w="749" w:type="dxa"/>
            <w:vMerge w:val="continue"/>
            <w:vAlign w:val="center"/>
          </w:tcPr>
          <w:p w14:paraId="6D38DDCE">
            <w:pPr>
              <w:spacing w:line="360" w:lineRule="auto"/>
              <w:rPr>
                <w:rFonts w:hint="eastAsia" w:ascii="仿宋" w:hAnsi="仿宋" w:eastAsia="仿宋" w:cs="仿宋"/>
                <w:sz w:val="24"/>
                <w:highlight w:val="none"/>
              </w:rPr>
            </w:pPr>
          </w:p>
        </w:tc>
        <w:tc>
          <w:tcPr>
            <w:tcW w:w="1855" w:type="dxa"/>
            <w:gridSpan w:val="2"/>
            <w:vAlign w:val="center"/>
          </w:tcPr>
          <w:p w14:paraId="387443C3">
            <w:pPr>
              <w:spacing w:line="360" w:lineRule="auto"/>
              <w:rPr>
                <w:rFonts w:hint="eastAsia" w:ascii="仿宋" w:hAnsi="仿宋" w:eastAsia="仿宋" w:cs="仿宋"/>
                <w:sz w:val="24"/>
                <w:highlight w:val="none"/>
              </w:rPr>
            </w:pPr>
            <w:r>
              <w:rPr>
                <w:rFonts w:hint="eastAsia" w:ascii="仿宋" w:hAnsi="仿宋" w:eastAsia="仿宋" w:cs="仿宋"/>
                <w:sz w:val="24"/>
                <w:highlight w:val="none"/>
              </w:rPr>
              <w:t>技工</w:t>
            </w:r>
          </w:p>
        </w:tc>
        <w:tc>
          <w:tcPr>
            <w:tcW w:w="2005" w:type="dxa"/>
            <w:gridSpan w:val="2"/>
            <w:vAlign w:val="center"/>
          </w:tcPr>
          <w:p w14:paraId="18F73E6F">
            <w:pPr>
              <w:spacing w:line="360" w:lineRule="auto"/>
              <w:rPr>
                <w:rFonts w:hint="eastAsia" w:ascii="仿宋" w:hAnsi="仿宋" w:eastAsia="仿宋" w:cs="仿宋"/>
                <w:sz w:val="24"/>
                <w:highlight w:val="none"/>
              </w:rPr>
            </w:pPr>
          </w:p>
        </w:tc>
      </w:tr>
      <w:tr w14:paraId="0488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0" w:hRule="atLeast"/>
          <w:jc w:val="center"/>
        </w:trPr>
        <w:tc>
          <w:tcPr>
            <w:tcW w:w="1676" w:type="dxa"/>
            <w:vAlign w:val="center"/>
          </w:tcPr>
          <w:p w14:paraId="55B32C55">
            <w:pPr>
              <w:spacing w:line="360" w:lineRule="auto"/>
              <w:rPr>
                <w:rFonts w:hint="eastAsia" w:ascii="仿宋" w:hAnsi="仿宋" w:eastAsia="仿宋" w:cs="仿宋"/>
                <w:sz w:val="24"/>
                <w:highlight w:val="none"/>
              </w:rPr>
            </w:pPr>
            <w:r>
              <w:rPr>
                <w:rFonts w:hint="eastAsia" w:ascii="仿宋" w:hAnsi="仿宋" w:eastAsia="仿宋" w:cs="仿宋"/>
                <w:sz w:val="24"/>
                <w:highlight w:val="none"/>
              </w:rPr>
              <w:t>经营范围备注</w:t>
            </w:r>
          </w:p>
        </w:tc>
        <w:tc>
          <w:tcPr>
            <w:tcW w:w="6846" w:type="dxa"/>
            <w:gridSpan w:val="7"/>
            <w:vAlign w:val="center"/>
          </w:tcPr>
          <w:p w14:paraId="54A93D60">
            <w:pPr>
              <w:spacing w:line="360" w:lineRule="auto"/>
              <w:rPr>
                <w:rFonts w:hint="eastAsia" w:ascii="仿宋" w:hAnsi="仿宋" w:eastAsia="仿宋" w:cs="仿宋"/>
                <w:sz w:val="24"/>
                <w:highlight w:val="none"/>
              </w:rPr>
            </w:pPr>
          </w:p>
        </w:tc>
      </w:tr>
    </w:tbl>
    <w:p w14:paraId="1E886445">
      <w:pPr>
        <w:rPr>
          <w:rFonts w:hint="eastAsia" w:ascii="仿宋" w:hAnsi="仿宋" w:eastAsia="仿宋" w:cs="仿宋"/>
          <w:highlight w:val="none"/>
        </w:rPr>
      </w:pPr>
    </w:p>
    <w:p w14:paraId="1722698A">
      <w:pPr>
        <w:rPr>
          <w:rFonts w:hint="eastAsia" w:ascii="仿宋" w:hAnsi="仿宋" w:eastAsia="仿宋" w:cs="仿宋"/>
          <w:highlight w:val="none"/>
        </w:rPr>
      </w:pPr>
    </w:p>
    <w:p w14:paraId="1EB4D487">
      <w:pPr>
        <w:rPr>
          <w:rFonts w:hint="eastAsia" w:ascii="仿宋" w:hAnsi="仿宋" w:eastAsia="仿宋" w:cs="仿宋"/>
          <w:sz w:val="24"/>
          <w:highlight w:val="none"/>
        </w:rPr>
      </w:pPr>
    </w:p>
    <w:p w14:paraId="5F0B8A81">
      <w:pPr>
        <w:rPr>
          <w:rFonts w:hint="eastAsia" w:ascii="仿宋" w:hAnsi="仿宋" w:eastAsia="仿宋" w:cs="仿宋"/>
          <w:sz w:val="24"/>
          <w:highlight w:val="none"/>
          <w:u w:val="single"/>
        </w:rPr>
      </w:pPr>
      <w:r>
        <w:rPr>
          <w:rFonts w:hint="eastAsia" w:ascii="仿宋" w:hAnsi="仿宋" w:eastAsia="仿宋" w:cs="仿宋"/>
          <w:sz w:val="24"/>
          <w:highlight w:val="none"/>
        </w:rPr>
        <w:t>应商盖章:</w:t>
      </w:r>
      <w:r>
        <w:rPr>
          <w:rFonts w:hint="eastAsia" w:ascii="仿宋" w:hAnsi="仿宋" w:eastAsia="仿宋" w:cs="仿宋"/>
          <w:sz w:val="24"/>
          <w:highlight w:val="none"/>
          <w:u w:val="single"/>
        </w:rPr>
        <w:t xml:space="preserve">                     </w:t>
      </w:r>
    </w:p>
    <w:p w14:paraId="7EA846FA">
      <w:pPr>
        <w:rPr>
          <w:rFonts w:hint="eastAsia" w:ascii="仿宋" w:hAnsi="仿宋" w:eastAsia="仿宋" w:cs="仿宋"/>
          <w:highlight w:val="none"/>
        </w:rPr>
      </w:pPr>
      <w:r>
        <w:rPr>
          <w:rFonts w:hint="eastAsia" w:ascii="仿宋" w:hAnsi="仿宋" w:eastAsia="仿宋" w:cs="仿宋"/>
          <w:highlight w:val="none"/>
        </w:rPr>
        <w:br w:type="page"/>
      </w:r>
    </w:p>
    <w:p w14:paraId="566346C8">
      <w:pPr>
        <w:rPr>
          <w:rFonts w:hint="eastAsia" w:ascii="仿宋" w:hAnsi="仿宋" w:eastAsia="仿宋" w:cs="仿宋"/>
          <w:highlight w:val="none"/>
        </w:rPr>
      </w:pPr>
    </w:p>
    <w:p w14:paraId="43A0C93B">
      <w:pPr>
        <w:jc w:val="center"/>
        <w:rPr>
          <w:rFonts w:hint="eastAsia" w:ascii="仿宋" w:hAnsi="仿宋" w:eastAsia="仿宋" w:cs="仿宋"/>
          <w:b/>
          <w:bCs/>
          <w:sz w:val="24"/>
          <w:highlight w:val="none"/>
        </w:rPr>
      </w:pPr>
      <w:bookmarkStart w:id="233" w:name="_Toc461116134"/>
      <w:bookmarkStart w:id="234" w:name="_Toc475970895"/>
      <w:bookmarkStart w:id="235" w:name="_Toc463859541"/>
      <w:r>
        <w:rPr>
          <w:rFonts w:hint="eastAsia" w:ascii="仿宋" w:hAnsi="仿宋" w:eastAsia="仿宋" w:cs="仿宋"/>
          <w:b/>
          <w:bCs/>
          <w:sz w:val="24"/>
          <w:highlight w:val="none"/>
        </w:rPr>
        <w:t>6-2. 近年完成的类似项目情况表</w:t>
      </w:r>
      <w:bookmarkEnd w:id="233"/>
      <w:bookmarkEnd w:id="234"/>
      <w:bookmarkEnd w:id="235"/>
    </w:p>
    <w:p w14:paraId="0B989EA0">
      <w:pPr>
        <w:rPr>
          <w:rFonts w:hint="eastAsia" w:ascii="仿宋" w:hAnsi="仿宋" w:eastAsia="仿宋" w:cs="仿宋"/>
          <w:highlight w:val="none"/>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7"/>
        <w:gridCol w:w="6285"/>
      </w:tblGrid>
      <w:tr w14:paraId="5B1B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2237" w:type="dxa"/>
            <w:vAlign w:val="center"/>
          </w:tcPr>
          <w:p w14:paraId="26076DC6">
            <w:pPr>
              <w:jc w:val="center"/>
              <w:rPr>
                <w:rFonts w:hint="eastAsia" w:ascii="仿宋" w:hAnsi="仿宋" w:eastAsia="仿宋" w:cs="仿宋"/>
                <w:sz w:val="24"/>
                <w:highlight w:val="none"/>
              </w:rPr>
            </w:pPr>
            <w:r>
              <w:rPr>
                <w:rFonts w:hint="eastAsia" w:ascii="仿宋" w:hAnsi="仿宋" w:eastAsia="仿宋" w:cs="仿宋"/>
                <w:sz w:val="24"/>
                <w:highlight w:val="none"/>
              </w:rPr>
              <w:t>项目名称</w:t>
            </w:r>
          </w:p>
        </w:tc>
        <w:tc>
          <w:tcPr>
            <w:tcW w:w="6285" w:type="dxa"/>
            <w:vAlign w:val="center"/>
          </w:tcPr>
          <w:p w14:paraId="3D9F3D04">
            <w:pPr>
              <w:jc w:val="center"/>
              <w:rPr>
                <w:rFonts w:hint="eastAsia" w:ascii="仿宋" w:hAnsi="仿宋" w:eastAsia="仿宋" w:cs="仿宋"/>
                <w:sz w:val="24"/>
                <w:highlight w:val="none"/>
              </w:rPr>
            </w:pPr>
          </w:p>
        </w:tc>
      </w:tr>
      <w:tr w14:paraId="4402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237" w:type="dxa"/>
            <w:vAlign w:val="center"/>
          </w:tcPr>
          <w:p w14:paraId="03D89198">
            <w:pPr>
              <w:jc w:val="center"/>
              <w:rPr>
                <w:rFonts w:hint="eastAsia" w:ascii="仿宋" w:hAnsi="仿宋" w:eastAsia="仿宋" w:cs="仿宋"/>
                <w:sz w:val="24"/>
                <w:highlight w:val="none"/>
              </w:rPr>
            </w:pPr>
            <w:r>
              <w:rPr>
                <w:rFonts w:hint="eastAsia" w:ascii="仿宋" w:hAnsi="仿宋" w:eastAsia="仿宋" w:cs="仿宋"/>
                <w:sz w:val="24"/>
                <w:highlight w:val="none"/>
              </w:rPr>
              <w:t>项目所在地</w:t>
            </w:r>
          </w:p>
        </w:tc>
        <w:tc>
          <w:tcPr>
            <w:tcW w:w="6285" w:type="dxa"/>
            <w:vAlign w:val="center"/>
          </w:tcPr>
          <w:p w14:paraId="2068FBB3">
            <w:pPr>
              <w:jc w:val="center"/>
              <w:rPr>
                <w:rFonts w:hint="eastAsia" w:ascii="仿宋" w:hAnsi="仿宋" w:eastAsia="仿宋" w:cs="仿宋"/>
                <w:sz w:val="24"/>
                <w:highlight w:val="none"/>
              </w:rPr>
            </w:pPr>
          </w:p>
        </w:tc>
      </w:tr>
      <w:tr w14:paraId="0A1E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237" w:type="dxa"/>
            <w:vAlign w:val="center"/>
          </w:tcPr>
          <w:p w14:paraId="40CDE868">
            <w:pPr>
              <w:jc w:val="center"/>
              <w:rPr>
                <w:rFonts w:hint="eastAsia" w:ascii="仿宋" w:hAnsi="仿宋" w:eastAsia="仿宋" w:cs="仿宋"/>
                <w:sz w:val="24"/>
                <w:highlight w:val="none"/>
              </w:rPr>
            </w:pPr>
            <w:r>
              <w:rPr>
                <w:rFonts w:hint="eastAsia" w:ascii="仿宋" w:hAnsi="仿宋" w:eastAsia="仿宋" w:cs="仿宋"/>
                <w:sz w:val="24"/>
                <w:highlight w:val="none"/>
              </w:rPr>
              <w:t>采购人名称</w:t>
            </w:r>
          </w:p>
        </w:tc>
        <w:tc>
          <w:tcPr>
            <w:tcW w:w="6285" w:type="dxa"/>
            <w:vAlign w:val="center"/>
          </w:tcPr>
          <w:p w14:paraId="317580DF">
            <w:pPr>
              <w:jc w:val="center"/>
              <w:rPr>
                <w:rFonts w:hint="eastAsia" w:ascii="仿宋" w:hAnsi="仿宋" w:eastAsia="仿宋" w:cs="仿宋"/>
                <w:sz w:val="24"/>
                <w:highlight w:val="none"/>
              </w:rPr>
            </w:pPr>
          </w:p>
        </w:tc>
      </w:tr>
      <w:tr w14:paraId="3491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237" w:type="dxa"/>
            <w:vAlign w:val="center"/>
          </w:tcPr>
          <w:p w14:paraId="0DEF06B6">
            <w:pPr>
              <w:jc w:val="center"/>
              <w:rPr>
                <w:rFonts w:hint="eastAsia" w:ascii="仿宋" w:hAnsi="仿宋" w:eastAsia="仿宋" w:cs="仿宋"/>
                <w:sz w:val="24"/>
                <w:highlight w:val="none"/>
              </w:rPr>
            </w:pPr>
            <w:r>
              <w:rPr>
                <w:rFonts w:hint="eastAsia" w:ascii="仿宋" w:hAnsi="仿宋" w:eastAsia="仿宋" w:cs="仿宋"/>
                <w:sz w:val="24"/>
                <w:highlight w:val="none"/>
              </w:rPr>
              <w:t>采购人地址</w:t>
            </w:r>
          </w:p>
        </w:tc>
        <w:tc>
          <w:tcPr>
            <w:tcW w:w="6285" w:type="dxa"/>
            <w:vAlign w:val="center"/>
          </w:tcPr>
          <w:p w14:paraId="4ED4D7B1">
            <w:pPr>
              <w:jc w:val="center"/>
              <w:rPr>
                <w:rFonts w:hint="eastAsia" w:ascii="仿宋" w:hAnsi="仿宋" w:eastAsia="仿宋" w:cs="仿宋"/>
                <w:sz w:val="24"/>
                <w:highlight w:val="none"/>
              </w:rPr>
            </w:pPr>
          </w:p>
        </w:tc>
      </w:tr>
      <w:tr w14:paraId="4381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237" w:type="dxa"/>
            <w:vAlign w:val="center"/>
          </w:tcPr>
          <w:p w14:paraId="486D6CC1">
            <w:pPr>
              <w:jc w:val="center"/>
              <w:rPr>
                <w:rFonts w:hint="eastAsia" w:ascii="仿宋" w:hAnsi="仿宋" w:eastAsia="仿宋" w:cs="仿宋"/>
                <w:sz w:val="24"/>
                <w:highlight w:val="none"/>
              </w:rPr>
            </w:pPr>
            <w:r>
              <w:rPr>
                <w:rFonts w:hint="eastAsia" w:ascii="仿宋" w:hAnsi="仿宋" w:eastAsia="仿宋" w:cs="仿宋"/>
                <w:sz w:val="24"/>
                <w:highlight w:val="none"/>
              </w:rPr>
              <w:t>采购人电话</w:t>
            </w:r>
          </w:p>
        </w:tc>
        <w:tc>
          <w:tcPr>
            <w:tcW w:w="6285" w:type="dxa"/>
            <w:vAlign w:val="center"/>
          </w:tcPr>
          <w:p w14:paraId="07D485BC">
            <w:pPr>
              <w:jc w:val="center"/>
              <w:rPr>
                <w:rFonts w:hint="eastAsia" w:ascii="仿宋" w:hAnsi="仿宋" w:eastAsia="仿宋" w:cs="仿宋"/>
                <w:sz w:val="24"/>
                <w:highlight w:val="none"/>
              </w:rPr>
            </w:pPr>
          </w:p>
        </w:tc>
      </w:tr>
      <w:tr w14:paraId="55A7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2237" w:type="dxa"/>
            <w:vAlign w:val="center"/>
          </w:tcPr>
          <w:p w14:paraId="77A354D5">
            <w:pPr>
              <w:jc w:val="center"/>
              <w:rPr>
                <w:rFonts w:hint="eastAsia" w:ascii="仿宋" w:hAnsi="仿宋" w:eastAsia="仿宋" w:cs="仿宋"/>
                <w:sz w:val="24"/>
                <w:highlight w:val="none"/>
              </w:rPr>
            </w:pPr>
            <w:r>
              <w:rPr>
                <w:rFonts w:hint="eastAsia" w:ascii="仿宋" w:hAnsi="仿宋" w:eastAsia="仿宋" w:cs="仿宋"/>
                <w:sz w:val="24"/>
                <w:highlight w:val="none"/>
              </w:rPr>
              <w:t>合同价格</w:t>
            </w:r>
          </w:p>
        </w:tc>
        <w:tc>
          <w:tcPr>
            <w:tcW w:w="6285" w:type="dxa"/>
            <w:vAlign w:val="center"/>
          </w:tcPr>
          <w:p w14:paraId="03FA252F">
            <w:pPr>
              <w:jc w:val="center"/>
              <w:rPr>
                <w:rFonts w:hint="eastAsia" w:ascii="仿宋" w:hAnsi="仿宋" w:eastAsia="仿宋" w:cs="仿宋"/>
                <w:sz w:val="24"/>
                <w:highlight w:val="none"/>
              </w:rPr>
            </w:pPr>
          </w:p>
        </w:tc>
      </w:tr>
      <w:tr w14:paraId="024A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2237" w:type="dxa"/>
            <w:vAlign w:val="center"/>
          </w:tcPr>
          <w:p w14:paraId="4B1A25F3">
            <w:pPr>
              <w:jc w:val="center"/>
              <w:rPr>
                <w:rFonts w:hint="eastAsia" w:ascii="仿宋" w:hAnsi="仿宋" w:eastAsia="仿宋" w:cs="仿宋"/>
                <w:sz w:val="24"/>
                <w:highlight w:val="none"/>
              </w:rPr>
            </w:pPr>
            <w:r>
              <w:rPr>
                <w:rFonts w:hint="eastAsia" w:ascii="仿宋" w:hAnsi="仿宋" w:eastAsia="仿宋" w:cs="仿宋"/>
                <w:sz w:val="24"/>
                <w:highlight w:val="none"/>
              </w:rPr>
              <w:t>交付日期</w:t>
            </w:r>
          </w:p>
        </w:tc>
        <w:tc>
          <w:tcPr>
            <w:tcW w:w="6285" w:type="dxa"/>
            <w:vAlign w:val="center"/>
          </w:tcPr>
          <w:p w14:paraId="69C378CE">
            <w:pPr>
              <w:jc w:val="center"/>
              <w:rPr>
                <w:rFonts w:hint="eastAsia" w:ascii="仿宋" w:hAnsi="仿宋" w:eastAsia="仿宋" w:cs="仿宋"/>
                <w:sz w:val="24"/>
                <w:highlight w:val="none"/>
              </w:rPr>
            </w:pPr>
          </w:p>
        </w:tc>
      </w:tr>
      <w:tr w14:paraId="000F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2237" w:type="dxa"/>
            <w:vAlign w:val="center"/>
          </w:tcPr>
          <w:p w14:paraId="2FC5A0FE">
            <w:pPr>
              <w:jc w:val="center"/>
              <w:rPr>
                <w:rFonts w:hint="eastAsia" w:ascii="仿宋" w:hAnsi="仿宋" w:eastAsia="仿宋" w:cs="仿宋"/>
                <w:sz w:val="24"/>
                <w:highlight w:val="none"/>
              </w:rPr>
            </w:pPr>
            <w:r>
              <w:rPr>
                <w:rFonts w:hint="eastAsia" w:ascii="仿宋" w:hAnsi="仿宋" w:eastAsia="仿宋" w:cs="仿宋"/>
                <w:sz w:val="24"/>
                <w:highlight w:val="none"/>
              </w:rPr>
              <w:t>技术负责人</w:t>
            </w:r>
          </w:p>
        </w:tc>
        <w:tc>
          <w:tcPr>
            <w:tcW w:w="6285" w:type="dxa"/>
            <w:vAlign w:val="center"/>
          </w:tcPr>
          <w:p w14:paraId="60C496FE">
            <w:pPr>
              <w:jc w:val="center"/>
              <w:rPr>
                <w:rFonts w:hint="eastAsia" w:ascii="仿宋" w:hAnsi="仿宋" w:eastAsia="仿宋" w:cs="仿宋"/>
                <w:sz w:val="24"/>
                <w:highlight w:val="none"/>
              </w:rPr>
            </w:pPr>
          </w:p>
        </w:tc>
      </w:tr>
      <w:tr w14:paraId="11A4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6" w:hRule="atLeast"/>
        </w:trPr>
        <w:tc>
          <w:tcPr>
            <w:tcW w:w="2237" w:type="dxa"/>
            <w:vAlign w:val="center"/>
          </w:tcPr>
          <w:p w14:paraId="381FC7C8">
            <w:pPr>
              <w:jc w:val="center"/>
              <w:rPr>
                <w:rFonts w:hint="eastAsia" w:ascii="仿宋" w:hAnsi="仿宋" w:eastAsia="仿宋" w:cs="仿宋"/>
                <w:sz w:val="24"/>
                <w:highlight w:val="none"/>
              </w:rPr>
            </w:pPr>
            <w:r>
              <w:rPr>
                <w:rFonts w:hint="eastAsia" w:ascii="仿宋" w:hAnsi="仿宋" w:eastAsia="仿宋" w:cs="仿宋"/>
                <w:sz w:val="24"/>
                <w:highlight w:val="none"/>
              </w:rPr>
              <w:t>项目描述</w:t>
            </w:r>
          </w:p>
        </w:tc>
        <w:tc>
          <w:tcPr>
            <w:tcW w:w="6285" w:type="dxa"/>
            <w:vAlign w:val="center"/>
          </w:tcPr>
          <w:p w14:paraId="3EA4FCC5">
            <w:pPr>
              <w:jc w:val="center"/>
              <w:rPr>
                <w:rFonts w:hint="eastAsia" w:ascii="仿宋" w:hAnsi="仿宋" w:eastAsia="仿宋" w:cs="仿宋"/>
                <w:sz w:val="24"/>
                <w:highlight w:val="none"/>
              </w:rPr>
            </w:pPr>
          </w:p>
        </w:tc>
      </w:tr>
      <w:tr w14:paraId="1FFF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2237" w:type="dxa"/>
            <w:vAlign w:val="center"/>
          </w:tcPr>
          <w:p w14:paraId="3B0317C4">
            <w:pPr>
              <w:jc w:val="center"/>
              <w:rPr>
                <w:rFonts w:hint="eastAsia" w:ascii="仿宋" w:hAnsi="仿宋" w:eastAsia="仿宋" w:cs="仿宋"/>
                <w:sz w:val="24"/>
                <w:highlight w:val="none"/>
              </w:rPr>
            </w:pPr>
            <w:r>
              <w:rPr>
                <w:rFonts w:hint="eastAsia" w:ascii="仿宋" w:hAnsi="仿宋" w:eastAsia="仿宋" w:cs="仿宋"/>
                <w:sz w:val="24"/>
                <w:highlight w:val="none"/>
              </w:rPr>
              <w:t>备注</w:t>
            </w:r>
          </w:p>
        </w:tc>
        <w:tc>
          <w:tcPr>
            <w:tcW w:w="6285" w:type="dxa"/>
            <w:vAlign w:val="center"/>
          </w:tcPr>
          <w:p w14:paraId="295BC30F">
            <w:pPr>
              <w:jc w:val="center"/>
              <w:rPr>
                <w:rFonts w:hint="eastAsia" w:ascii="仿宋" w:hAnsi="仿宋" w:eastAsia="仿宋" w:cs="仿宋"/>
                <w:sz w:val="24"/>
                <w:highlight w:val="none"/>
              </w:rPr>
            </w:pPr>
          </w:p>
        </w:tc>
      </w:tr>
    </w:tbl>
    <w:p w14:paraId="429E552F">
      <w:pPr>
        <w:rPr>
          <w:rFonts w:hint="eastAsia" w:ascii="仿宋" w:hAnsi="仿宋" w:eastAsia="仿宋" w:cs="仿宋"/>
          <w:highlight w:val="none"/>
        </w:rPr>
      </w:pPr>
    </w:p>
    <w:p w14:paraId="28419A85">
      <w:pPr>
        <w:rPr>
          <w:rFonts w:hint="eastAsia" w:ascii="仿宋" w:hAnsi="仿宋" w:eastAsia="仿宋" w:cs="仿宋"/>
          <w:highlight w:val="none"/>
        </w:rPr>
      </w:pPr>
    </w:p>
    <w:p w14:paraId="3E7DB468">
      <w:pPr>
        <w:rPr>
          <w:rFonts w:hint="eastAsia" w:ascii="仿宋" w:hAnsi="仿宋" w:eastAsia="仿宋" w:cs="仿宋"/>
          <w:sz w:val="24"/>
          <w:highlight w:val="none"/>
          <w:u w:val="single"/>
        </w:rPr>
      </w:pPr>
      <w:r>
        <w:rPr>
          <w:rFonts w:hint="eastAsia" w:ascii="仿宋" w:hAnsi="仿宋" w:eastAsia="仿宋" w:cs="仿宋"/>
          <w:sz w:val="24"/>
          <w:highlight w:val="none"/>
        </w:rPr>
        <w:t>供应商公章（或自然人手印）</w:t>
      </w:r>
      <w:r>
        <w:rPr>
          <w:rFonts w:hint="eastAsia" w:ascii="仿宋" w:hAnsi="仿宋" w:eastAsia="仿宋" w:cs="仿宋"/>
          <w:sz w:val="24"/>
          <w:highlight w:val="none"/>
          <w:u w:val="single"/>
        </w:rPr>
        <w:t xml:space="preserve">                     </w:t>
      </w:r>
    </w:p>
    <w:p w14:paraId="64E4AC10">
      <w:pPr>
        <w:rPr>
          <w:rFonts w:hint="eastAsia" w:ascii="仿宋" w:hAnsi="仿宋" w:eastAsia="仿宋" w:cs="仿宋"/>
          <w:sz w:val="24"/>
          <w:highlight w:val="none"/>
          <w:u w:val="single"/>
        </w:rPr>
      </w:pPr>
      <w:r>
        <w:rPr>
          <w:rFonts w:hint="eastAsia" w:ascii="仿宋" w:hAnsi="仿宋" w:eastAsia="仿宋" w:cs="仿宋"/>
          <w:sz w:val="24"/>
          <w:highlight w:val="none"/>
          <w:u w:val="single"/>
        </w:rPr>
        <w:br w:type="page"/>
      </w:r>
    </w:p>
    <w:p w14:paraId="3AFDD82E">
      <w:pPr>
        <w:jc w:val="center"/>
        <w:rPr>
          <w:rFonts w:hint="eastAsia" w:ascii="仿宋" w:hAnsi="仿宋" w:eastAsia="仿宋" w:cs="仿宋"/>
          <w:b/>
          <w:bCs/>
          <w:sz w:val="24"/>
          <w:highlight w:val="none"/>
        </w:rPr>
      </w:pPr>
      <w:r>
        <w:rPr>
          <w:rFonts w:hint="eastAsia" w:ascii="仿宋" w:hAnsi="仿宋" w:eastAsia="仿宋" w:cs="仿宋"/>
          <w:b/>
          <w:bCs/>
          <w:sz w:val="24"/>
          <w:highlight w:val="none"/>
        </w:rPr>
        <w:t>6-3.关于及时交纳代理服务费及提供采购合同的承诺函</w:t>
      </w:r>
    </w:p>
    <w:p w14:paraId="669BB940">
      <w:pPr>
        <w:rPr>
          <w:rFonts w:hint="eastAsia" w:ascii="仿宋" w:hAnsi="仿宋" w:eastAsia="仿宋" w:cs="仿宋"/>
          <w:highlight w:val="none"/>
        </w:rPr>
      </w:pPr>
    </w:p>
    <w:p w14:paraId="443FFE34">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致：江西企恒企业管理有限公司</w:t>
      </w:r>
    </w:p>
    <w:p w14:paraId="3C8ED283">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我方若有幸成为本项目的成交人，郑重作出以下承诺：</w:t>
      </w:r>
    </w:p>
    <w:p w14:paraId="1B7D500C">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将按照询价通知书要求及时交纳采购代理服务费；</w:t>
      </w:r>
    </w:p>
    <w:p w14:paraId="287D4C71">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在与采购人签订采购合同后的</w:t>
      </w:r>
      <w:r>
        <w:rPr>
          <w:rFonts w:hint="eastAsia" w:ascii="仿宋" w:hAnsi="仿宋" w:eastAsia="仿宋" w:cs="仿宋"/>
          <w:b/>
          <w:bCs/>
          <w:sz w:val="24"/>
          <w:highlight w:val="none"/>
        </w:rPr>
        <w:t>1个工作日内</w:t>
      </w:r>
      <w:r>
        <w:rPr>
          <w:rFonts w:hint="eastAsia" w:ascii="仿宋" w:hAnsi="仿宋" w:eastAsia="仿宋" w:cs="仿宋"/>
          <w:sz w:val="24"/>
          <w:highlight w:val="none"/>
        </w:rPr>
        <w:t>，向贵公司提供一份采购合同原件。</w:t>
      </w:r>
    </w:p>
    <w:p w14:paraId="63B7FD17">
      <w:pPr>
        <w:spacing w:line="360" w:lineRule="auto"/>
        <w:rPr>
          <w:rFonts w:hint="eastAsia" w:ascii="仿宋" w:hAnsi="仿宋" w:eastAsia="仿宋" w:cs="仿宋"/>
          <w:sz w:val="24"/>
          <w:highlight w:val="none"/>
        </w:rPr>
      </w:pPr>
    </w:p>
    <w:p w14:paraId="2E525548">
      <w:pPr>
        <w:spacing w:line="360" w:lineRule="auto"/>
        <w:rPr>
          <w:rFonts w:hint="eastAsia" w:ascii="仿宋" w:hAnsi="仿宋" w:eastAsia="仿宋" w:cs="仿宋"/>
          <w:sz w:val="24"/>
          <w:highlight w:val="none"/>
        </w:rPr>
      </w:pPr>
    </w:p>
    <w:p w14:paraId="42D8ECFE">
      <w:pPr>
        <w:spacing w:line="360" w:lineRule="auto"/>
        <w:rPr>
          <w:rFonts w:hint="eastAsia" w:ascii="仿宋" w:hAnsi="仿宋" w:eastAsia="仿宋" w:cs="仿宋"/>
          <w:sz w:val="24"/>
          <w:highlight w:val="none"/>
        </w:rPr>
      </w:pPr>
    </w:p>
    <w:p w14:paraId="4D81EEAF">
      <w:pPr>
        <w:spacing w:line="48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法定代表人（或经营者或自然人）或供应商代表签字或章：</w:t>
      </w:r>
      <w:r>
        <w:rPr>
          <w:rFonts w:hint="eastAsia" w:ascii="仿宋" w:hAnsi="仿宋" w:eastAsia="仿宋" w:cs="仿宋"/>
          <w:sz w:val="24"/>
          <w:highlight w:val="none"/>
          <w:u w:val="single"/>
        </w:rPr>
        <w:t xml:space="preserve">                </w:t>
      </w:r>
    </w:p>
    <w:p w14:paraId="0D87B175">
      <w:pPr>
        <w:spacing w:line="48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供应商公章（或自然人手印）：</w:t>
      </w:r>
      <w:r>
        <w:rPr>
          <w:rFonts w:hint="eastAsia" w:ascii="仿宋" w:hAnsi="仿宋" w:eastAsia="仿宋" w:cs="仿宋"/>
          <w:sz w:val="24"/>
          <w:highlight w:val="none"/>
          <w:u w:val="single"/>
        </w:rPr>
        <w:t xml:space="preserve">                        </w:t>
      </w:r>
    </w:p>
    <w:p w14:paraId="0DDD2593">
      <w:pPr>
        <w:spacing w:line="48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日  期：</w:t>
      </w:r>
      <w:r>
        <w:rPr>
          <w:rFonts w:hint="eastAsia" w:ascii="仿宋" w:hAnsi="仿宋" w:eastAsia="仿宋" w:cs="仿宋"/>
          <w:sz w:val="24"/>
          <w:highlight w:val="none"/>
          <w:u w:val="single"/>
        </w:rPr>
        <w:t xml:space="preserve">                     </w:t>
      </w:r>
    </w:p>
    <w:p w14:paraId="0686045D">
      <w:pPr>
        <w:rPr>
          <w:rFonts w:hint="eastAsia" w:ascii="仿宋" w:hAnsi="仿宋" w:eastAsia="仿宋" w:cs="仿宋"/>
          <w:sz w:val="24"/>
          <w:highlight w:val="none"/>
          <w:u w:val="single"/>
        </w:rPr>
      </w:pPr>
      <w:r>
        <w:rPr>
          <w:rFonts w:hint="eastAsia" w:ascii="仿宋" w:hAnsi="仿宋" w:eastAsia="仿宋" w:cs="仿宋"/>
          <w:sz w:val="24"/>
          <w:highlight w:val="none"/>
          <w:u w:val="single"/>
        </w:rPr>
        <w:br w:type="page"/>
      </w:r>
    </w:p>
    <w:p w14:paraId="4CF0F823">
      <w:pPr>
        <w:pStyle w:val="4"/>
        <w:jc w:val="center"/>
        <w:rPr>
          <w:rFonts w:hint="eastAsia" w:ascii="仿宋" w:hAnsi="仿宋" w:eastAsia="仿宋" w:cs="仿宋"/>
          <w:highlight w:val="none"/>
        </w:rPr>
      </w:pPr>
      <w:bookmarkStart w:id="236" w:name="_Toc4781"/>
      <w:bookmarkStart w:id="237" w:name="_Toc15926"/>
      <w:bookmarkStart w:id="238" w:name="_Toc5324"/>
      <w:r>
        <w:rPr>
          <w:rFonts w:hint="eastAsia" w:ascii="仿宋" w:hAnsi="仿宋" w:eastAsia="仿宋" w:cs="仿宋"/>
          <w:sz w:val="28"/>
          <w:szCs w:val="28"/>
          <w:highlight w:val="none"/>
        </w:rPr>
        <w:t>7、中小企业声明</w:t>
      </w:r>
      <w:bookmarkEnd w:id="236"/>
      <w:bookmarkEnd w:id="237"/>
      <w:bookmarkEnd w:id="238"/>
    </w:p>
    <w:p w14:paraId="0C2DBF80">
      <w:pPr>
        <w:rPr>
          <w:rFonts w:hint="eastAsia" w:ascii="仿宋" w:hAnsi="仿宋" w:eastAsia="仿宋" w:cs="仿宋"/>
          <w:highlight w:val="none"/>
        </w:rPr>
      </w:pPr>
    </w:p>
    <w:p w14:paraId="2F8B1622">
      <w:pPr>
        <w:jc w:val="center"/>
        <w:rPr>
          <w:rFonts w:hint="eastAsia" w:ascii="仿宋" w:hAnsi="仿宋" w:eastAsia="仿宋" w:cs="仿宋"/>
          <w:highlight w:val="none"/>
        </w:rPr>
      </w:pPr>
      <w:r>
        <w:rPr>
          <w:rFonts w:hint="eastAsia" w:ascii="仿宋" w:hAnsi="仿宋" w:eastAsia="仿宋" w:cs="仿宋"/>
          <w:b/>
          <w:bCs/>
          <w:sz w:val="24"/>
          <w:highlight w:val="none"/>
        </w:rPr>
        <w:t>7.1中小企业声明（货物）</w:t>
      </w:r>
    </w:p>
    <w:p w14:paraId="47ECA63D">
      <w:pPr>
        <w:rPr>
          <w:rFonts w:hint="eastAsia" w:ascii="仿宋" w:hAnsi="仿宋" w:eastAsia="仿宋" w:cs="仿宋"/>
          <w:highlight w:val="none"/>
        </w:rPr>
      </w:pPr>
    </w:p>
    <w:p w14:paraId="6594E59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本公司（联合体）郑重声明，根据《政府采购促进中小企业发展管理办法》（财库[2020]46号）的规定，本公司（联合体）参加</w:t>
      </w:r>
      <w:r>
        <w:rPr>
          <w:rFonts w:hint="eastAsia" w:ascii="仿宋" w:hAnsi="仿宋" w:eastAsia="仿宋" w:cs="仿宋"/>
          <w:sz w:val="24"/>
          <w:highlight w:val="none"/>
          <w:u w:val="single"/>
        </w:rPr>
        <w:t>（单位名称）</w:t>
      </w:r>
      <w:r>
        <w:rPr>
          <w:rFonts w:hint="eastAsia" w:ascii="仿宋" w:hAnsi="仿宋" w:eastAsia="仿宋" w:cs="仿宋"/>
          <w:sz w:val="24"/>
          <w:highlight w:val="none"/>
        </w:rPr>
        <w:t>的</w:t>
      </w:r>
      <w:r>
        <w:rPr>
          <w:rFonts w:hint="eastAsia" w:ascii="仿宋" w:hAnsi="仿宋" w:eastAsia="仿宋" w:cs="仿宋"/>
          <w:sz w:val="24"/>
          <w:highlight w:val="none"/>
          <w:u w:val="single"/>
        </w:rPr>
        <w:t>（项目名称）</w:t>
      </w:r>
      <w:r>
        <w:rPr>
          <w:rFonts w:hint="eastAsia" w:ascii="仿宋" w:hAnsi="仿宋" w:eastAsia="仿宋" w:cs="仿宋"/>
          <w:sz w:val="24"/>
          <w:highlight w:val="none"/>
        </w:rPr>
        <w:t>采购活动，提供的货物全部由符合政策要求的中小企业制造。相关企业（含联合体中的中小企业、签订分包意向协议的中小企业）的具体情况如下：</w:t>
      </w:r>
    </w:p>
    <w:p w14:paraId="33E6522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w:t>
      </w:r>
      <w:r>
        <w:rPr>
          <w:rFonts w:hint="eastAsia" w:ascii="仿宋" w:hAnsi="仿宋" w:eastAsia="仿宋" w:cs="仿宋"/>
          <w:sz w:val="24"/>
          <w:highlight w:val="none"/>
          <w:u w:val="single"/>
        </w:rPr>
        <w:t>（标的名称）</w:t>
      </w:r>
      <w:r>
        <w:rPr>
          <w:rFonts w:hint="eastAsia" w:ascii="仿宋" w:hAnsi="仿宋" w:eastAsia="仿宋" w:cs="仿宋"/>
          <w:sz w:val="24"/>
          <w:highlight w:val="none"/>
        </w:rPr>
        <w:t>，属于</w:t>
      </w:r>
      <w:r>
        <w:rPr>
          <w:rFonts w:hint="eastAsia" w:ascii="仿宋" w:hAnsi="仿宋" w:eastAsia="仿宋" w:cs="仿宋"/>
          <w:sz w:val="24"/>
          <w:highlight w:val="none"/>
          <w:u w:val="single"/>
        </w:rPr>
        <w:t>（采购文件中明确的所属行业）</w:t>
      </w:r>
      <w:r>
        <w:rPr>
          <w:rFonts w:hint="eastAsia" w:ascii="仿宋" w:hAnsi="仿宋" w:eastAsia="仿宋" w:cs="仿宋"/>
          <w:sz w:val="24"/>
          <w:highlight w:val="none"/>
        </w:rPr>
        <w:t>行业，制造商为（企业名称），从业人员   人，营业收入为   万元，资产总额为   万元，属于（中型企业、小型企业、微型企业）；</w:t>
      </w:r>
    </w:p>
    <w:p w14:paraId="6A0CEA2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2、（标的名称），属于（采购文件中明确的所属行业）行业，制造商为</w:t>
      </w:r>
      <w:r>
        <w:rPr>
          <w:rFonts w:hint="eastAsia" w:ascii="仿宋" w:hAnsi="仿宋" w:eastAsia="仿宋" w:cs="仿宋"/>
          <w:sz w:val="24"/>
          <w:highlight w:val="none"/>
          <w:u w:val="single"/>
        </w:rPr>
        <w:t>（企业名称）</w:t>
      </w:r>
      <w:r>
        <w:rPr>
          <w:rFonts w:hint="eastAsia" w:ascii="仿宋" w:hAnsi="仿宋" w:eastAsia="仿宋" w:cs="仿宋"/>
          <w:sz w:val="24"/>
          <w:highlight w:val="none"/>
        </w:rPr>
        <w:t>，从业人员   人，营业收入为   万元，资产总额为   万元，属于</w:t>
      </w:r>
      <w:r>
        <w:rPr>
          <w:rFonts w:hint="eastAsia" w:ascii="仿宋" w:hAnsi="仿宋" w:eastAsia="仿宋" w:cs="仿宋"/>
          <w:sz w:val="24"/>
          <w:highlight w:val="none"/>
          <w:u w:val="single"/>
        </w:rPr>
        <w:t>（中型企业、小型企业、微型企业）</w:t>
      </w:r>
      <w:r>
        <w:rPr>
          <w:rFonts w:hint="eastAsia" w:ascii="仿宋" w:hAnsi="仿宋" w:eastAsia="仿宋" w:cs="仿宋"/>
          <w:sz w:val="24"/>
          <w:highlight w:val="none"/>
        </w:rPr>
        <w:t>；</w:t>
      </w:r>
    </w:p>
    <w:p w14:paraId="361A594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w:t>
      </w:r>
    </w:p>
    <w:p w14:paraId="6F7A6F2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以上企业，不属于大型企业的分支机构，不存在控股股东为大企业的情形，也不存在与大企业的负责人为同一人的情形。</w:t>
      </w:r>
    </w:p>
    <w:p w14:paraId="4426C11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本公司对上述声明内容的真实性负责。如有虚假，将依法承担相应责任。</w:t>
      </w:r>
    </w:p>
    <w:p w14:paraId="61BC3AB8">
      <w:pPr>
        <w:spacing w:line="360" w:lineRule="auto"/>
        <w:jc w:val="left"/>
        <w:rPr>
          <w:rFonts w:hint="eastAsia" w:ascii="仿宋" w:hAnsi="仿宋" w:eastAsia="仿宋" w:cs="仿宋"/>
          <w:sz w:val="24"/>
          <w:highlight w:val="none"/>
        </w:rPr>
      </w:pPr>
    </w:p>
    <w:p w14:paraId="2E6F0B11">
      <w:pPr>
        <w:spacing w:line="360" w:lineRule="auto"/>
        <w:jc w:val="left"/>
        <w:rPr>
          <w:rFonts w:hint="eastAsia" w:ascii="仿宋" w:hAnsi="仿宋" w:eastAsia="仿宋" w:cs="仿宋"/>
          <w:sz w:val="24"/>
          <w:highlight w:val="none"/>
        </w:rPr>
      </w:pPr>
    </w:p>
    <w:p w14:paraId="23B5AA46">
      <w:pPr>
        <w:spacing w:line="360" w:lineRule="auto"/>
        <w:ind w:firstLine="480" w:firstLineChars="200"/>
        <w:jc w:val="left"/>
        <w:rPr>
          <w:rFonts w:hint="eastAsia" w:ascii="仿宋" w:hAnsi="仿宋" w:eastAsia="仿宋" w:cs="仿宋"/>
          <w:sz w:val="24"/>
          <w:highlight w:val="none"/>
          <w:u w:val="single"/>
        </w:rPr>
      </w:pPr>
      <w:r>
        <w:rPr>
          <w:rFonts w:hint="eastAsia" w:ascii="仿宋" w:hAnsi="仿宋" w:eastAsia="仿宋" w:cs="仿宋"/>
          <w:sz w:val="24"/>
          <w:highlight w:val="none"/>
        </w:rPr>
        <w:t>企业名称（盖章）：</w:t>
      </w:r>
      <w:r>
        <w:rPr>
          <w:rFonts w:hint="eastAsia" w:ascii="仿宋" w:hAnsi="仿宋" w:eastAsia="仿宋" w:cs="仿宋"/>
          <w:sz w:val="24"/>
          <w:highlight w:val="none"/>
          <w:u w:val="single"/>
        </w:rPr>
        <w:t xml:space="preserve">                      </w:t>
      </w:r>
    </w:p>
    <w:p w14:paraId="44A6BE62">
      <w:pPr>
        <w:spacing w:line="360" w:lineRule="auto"/>
        <w:jc w:val="left"/>
        <w:rPr>
          <w:rFonts w:hint="eastAsia" w:ascii="仿宋" w:hAnsi="仿宋" w:eastAsia="仿宋" w:cs="仿宋"/>
          <w:sz w:val="24"/>
          <w:highlight w:val="none"/>
        </w:rPr>
      </w:pPr>
    </w:p>
    <w:p w14:paraId="090EA54A">
      <w:pPr>
        <w:spacing w:line="360" w:lineRule="auto"/>
        <w:jc w:val="left"/>
        <w:rPr>
          <w:rFonts w:hint="eastAsia" w:ascii="仿宋" w:hAnsi="仿宋" w:eastAsia="仿宋" w:cs="仿宋"/>
          <w:sz w:val="24"/>
          <w:highlight w:val="none"/>
        </w:rPr>
      </w:pPr>
    </w:p>
    <w:p w14:paraId="641D61FD">
      <w:pPr>
        <w:spacing w:line="360" w:lineRule="auto"/>
        <w:ind w:firstLine="480" w:firstLineChars="200"/>
        <w:jc w:val="left"/>
        <w:rPr>
          <w:rFonts w:hint="eastAsia" w:ascii="仿宋" w:hAnsi="仿宋" w:eastAsia="仿宋" w:cs="仿宋"/>
          <w:sz w:val="24"/>
          <w:highlight w:val="none"/>
          <w:u w:val="single"/>
        </w:rPr>
      </w:pPr>
      <w:r>
        <w:rPr>
          <w:rFonts w:hint="eastAsia" w:ascii="仿宋" w:hAnsi="仿宋" w:eastAsia="仿宋" w:cs="仿宋"/>
          <w:sz w:val="24"/>
          <w:highlight w:val="none"/>
        </w:rPr>
        <w:t>日期：</w:t>
      </w:r>
      <w:r>
        <w:rPr>
          <w:rFonts w:hint="eastAsia" w:ascii="仿宋" w:hAnsi="仿宋" w:eastAsia="仿宋" w:cs="仿宋"/>
          <w:sz w:val="24"/>
          <w:highlight w:val="none"/>
          <w:u w:val="single"/>
        </w:rPr>
        <w:t xml:space="preserve">                        </w:t>
      </w:r>
    </w:p>
    <w:p w14:paraId="7C9FF0AA">
      <w:pPr>
        <w:spacing w:line="360" w:lineRule="auto"/>
        <w:jc w:val="center"/>
        <w:rPr>
          <w:rFonts w:hint="eastAsia" w:ascii="仿宋" w:hAnsi="仿宋" w:eastAsia="仿宋" w:cs="仿宋"/>
          <w:sz w:val="24"/>
          <w:highlight w:val="none"/>
        </w:rPr>
      </w:pPr>
    </w:p>
    <w:p w14:paraId="4673C272">
      <w:pPr>
        <w:spacing w:line="360" w:lineRule="auto"/>
        <w:jc w:val="center"/>
        <w:rPr>
          <w:rFonts w:hint="eastAsia" w:ascii="仿宋" w:hAnsi="仿宋" w:eastAsia="仿宋" w:cs="仿宋"/>
          <w:sz w:val="24"/>
          <w:highlight w:val="none"/>
        </w:rPr>
      </w:pPr>
    </w:p>
    <w:p w14:paraId="55833D82">
      <w:pPr>
        <w:spacing w:line="360" w:lineRule="auto"/>
        <w:jc w:val="center"/>
        <w:rPr>
          <w:rFonts w:hint="eastAsia" w:ascii="仿宋" w:hAnsi="仿宋" w:eastAsia="仿宋" w:cs="仿宋"/>
          <w:b/>
          <w:bCs/>
          <w:sz w:val="24"/>
          <w:highlight w:val="none"/>
        </w:rPr>
      </w:pPr>
      <w:r>
        <w:rPr>
          <w:rFonts w:hint="eastAsia" w:ascii="仿宋" w:hAnsi="仿宋" w:eastAsia="仿宋" w:cs="仿宋"/>
          <w:b/>
          <w:bCs/>
          <w:sz w:val="24"/>
          <w:highlight w:val="none"/>
        </w:rPr>
        <w:t>（注：不符合中小企业条件的不需提供）</w:t>
      </w:r>
    </w:p>
    <w:p w14:paraId="66680B22">
      <w:pPr>
        <w:rPr>
          <w:rFonts w:hint="eastAsia" w:ascii="仿宋" w:hAnsi="仿宋" w:eastAsia="仿宋" w:cs="仿宋"/>
          <w:b/>
          <w:bCs/>
          <w:sz w:val="24"/>
          <w:highlight w:val="none"/>
        </w:rPr>
      </w:pPr>
      <w:r>
        <w:rPr>
          <w:rFonts w:hint="eastAsia" w:ascii="仿宋" w:hAnsi="仿宋" w:eastAsia="仿宋" w:cs="仿宋"/>
          <w:b/>
          <w:bCs/>
          <w:sz w:val="24"/>
          <w:highlight w:val="none"/>
        </w:rPr>
        <w:br w:type="page"/>
      </w:r>
    </w:p>
    <w:p w14:paraId="1C29AC8F">
      <w:pPr>
        <w:spacing w:line="440" w:lineRule="exact"/>
        <w:rPr>
          <w:rFonts w:hint="eastAsia" w:ascii="仿宋" w:hAnsi="仿宋" w:eastAsia="仿宋" w:cs="仿宋"/>
          <w:b/>
          <w:bCs/>
          <w:highlight w:val="none"/>
        </w:rPr>
      </w:pPr>
      <w:r>
        <w:rPr>
          <w:rFonts w:hint="eastAsia" w:ascii="仿宋" w:hAnsi="仿宋" w:eastAsia="仿宋" w:cs="仿宋"/>
          <w:b/>
          <w:bCs/>
          <w:highlight w:val="none"/>
        </w:rPr>
        <w:t>《中小企业声明函》填写指引及风险提示：</w:t>
      </w:r>
    </w:p>
    <w:p w14:paraId="534180AD">
      <w:pPr>
        <w:widowControl/>
        <w:kinsoku w:val="0"/>
        <w:autoSpaceDE w:val="0"/>
        <w:autoSpaceDN w:val="0"/>
        <w:adjustRightInd w:val="0"/>
        <w:snapToGrid w:val="0"/>
        <w:spacing w:line="440" w:lineRule="exact"/>
        <w:ind w:firstLine="482" w:firstLineChars="200"/>
        <w:textAlignment w:val="baseline"/>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（一）填写指引：</w:t>
      </w:r>
    </w:p>
    <w:p w14:paraId="2BFB32DB">
      <w:pPr>
        <w:widowControl/>
        <w:kinsoku w:val="0"/>
        <w:autoSpaceDE w:val="0"/>
        <w:autoSpaceDN w:val="0"/>
        <w:adjustRightInd w:val="0"/>
        <w:snapToGrid w:val="0"/>
        <w:spacing w:line="440" w:lineRule="exact"/>
        <w:ind w:firstLine="480" w:firstLineChars="200"/>
        <w:textAlignment w:val="baseline"/>
        <w:rPr>
          <w:rFonts w:hint="eastAsia" w:ascii="仿宋" w:hAnsi="仿宋" w:eastAsia="仿宋" w:cs="仿宋"/>
          <w:kern w:val="0"/>
          <w:sz w:val="24"/>
          <w:highlight w:val="none"/>
        </w:rPr>
      </w:pPr>
      <w:r>
        <w:rPr>
          <w:rFonts w:hint="eastAsia" w:ascii="仿宋" w:hAnsi="仿宋" w:eastAsia="仿宋" w:cs="仿宋"/>
          <w:kern w:val="0"/>
          <w:sz w:val="24"/>
          <w:highlight w:val="none"/>
        </w:rPr>
        <w:t>1.响应人在填写时请依照询价通知书提供的格式和内容填写，</w:t>
      </w:r>
      <w:r>
        <w:rPr>
          <w:rFonts w:hint="eastAsia" w:ascii="仿宋" w:hAnsi="仿宋" w:eastAsia="仿宋" w:cs="仿宋"/>
          <w:sz w:val="24"/>
          <w:highlight w:val="none"/>
          <w14:textOutline w14:w="4356" w14:cap="sq" w14:cmpd="sng" w14:algn="ctr">
            <w14:solidFill>
              <w14:srgbClr w14:val="000000"/>
            </w14:solidFill>
            <w14:prstDash w14:val="solid"/>
            <w14:bevel/>
          </w14:textOutline>
        </w:rPr>
        <w:t>不得随意变更格式</w:t>
      </w:r>
      <w:r>
        <w:rPr>
          <w:rFonts w:hint="eastAsia" w:ascii="仿宋" w:hAnsi="仿宋" w:eastAsia="仿宋" w:cs="仿宋"/>
          <w:kern w:val="0"/>
          <w:sz w:val="24"/>
          <w:highlight w:val="none"/>
        </w:rPr>
        <w:t>。</w:t>
      </w:r>
    </w:p>
    <w:p w14:paraId="0B35A289">
      <w:pPr>
        <w:widowControl/>
        <w:kinsoku w:val="0"/>
        <w:autoSpaceDE w:val="0"/>
        <w:autoSpaceDN w:val="0"/>
        <w:adjustRightInd w:val="0"/>
        <w:snapToGrid w:val="0"/>
        <w:spacing w:line="440" w:lineRule="exact"/>
        <w:ind w:firstLine="480" w:firstLineChars="200"/>
        <w:textAlignment w:val="baseline"/>
        <w:rPr>
          <w:rFonts w:hint="eastAsia" w:ascii="仿宋" w:hAnsi="仿宋" w:eastAsia="仿宋" w:cs="仿宋"/>
          <w:kern w:val="0"/>
          <w:sz w:val="24"/>
          <w:highlight w:val="none"/>
        </w:rPr>
      </w:pPr>
      <w:r>
        <w:rPr>
          <w:rFonts w:hint="eastAsia" w:ascii="仿宋" w:hAnsi="仿宋" w:eastAsia="仿宋" w:cs="仿宋"/>
          <w:kern w:val="0"/>
          <w:sz w:val="24"/>
          <w:highlight w:val="none"/>
        </w:rPr>
        <w:t>2.《中小企业声明函》由响应人根据所提供货物的制造商实际情况填写，不符合要求的响应人可以不填写或直接删除本格式。</w:t>
      </w:r>
    </w:p>
    <w:p w14:paraId="1E26755A">
      <w:pPr>
        <w:widowControl/>
        <w:kinsoku w:val="0"/>
        <w:autoSpaceDE w:val="0"/>
        <w:autoSpaceDN w:val="0"/>
        <w:adjustRightInd w:val="0"/>
        <w:snapToGrid w:val="0"/>
        <w:spacing w:line="440" w:lineRule="exact"/>
        <w:ind w:firstLine="480" w:firstLineChars="200"/>
        <w:textAlignment w:val="baseline"/>
        <w:rPr>
          <w:rFonts w:hint="eastAsia" w:ascii="仿宋" w:hAnsi="仿宋" w:eastAsia="仿宋" w:cs="仿宋"/>
          <w:kern w:val="0"/>
          <w:sz w:val="24"/>
          <w:highlight w:val="none"/>
        </w:rPr>
      </w:pPr>
      <w:r>
        <w:rPr>
          <w:rFonts w:hint="eastAsia" w:ascii="仿宋" w:hAnsi="仿宋" w:eastAsia="仿宋" w:cs="仿宋"/>
          <w:kern w:val="0"/>
          <w:sz w:val="24"/>
          <w:highlight w:val="none"/>
        </w:rPr>
        <w:t>3.填写需参考的相关文件：（1）《政府采购促进中小企业发展管理办法》（财库【2020】46号）、《关于中小企业划型标准规定的通知》（工信部联企业【2011】300号文，详见下述附表）</w:t>
      </w:r>
    </w:p>
    <w:p w14:paraId="69395743">
      <w:pPr>
        <w:widowControl/>
        <w:kinsoku w:val="0"/>
        <w:autoSpaceDE w:val="0"/>
        <w:autoSpaceDN w:val="0"/>
        <w:adjustRightInd w:val="0"/>
        <w:snapToGrid w:val="0"/>
        <w:spacing w:line="440" w:lineRule="exact"/>
        <w:ind w:firstLine="480" w:firstLineChars="200"/>
        <w:textAlignment w:val="baseline"/>
        <w:rPr>
          <w:rFonts w:hint="eastAsia" w:ascii="仿宋" w:hAnsi="仿宋" w:eastAsia="仿宋" w:cs="仿宋"/>
          <w:kern w:val="0"/>
          <w:sz w:val="24"/>
          <w:highlight w:val="none"/>
        </w:rPr>
      </w:pPr>
      <w:r>
        <w:rPr>
          <w:rFonts w:hint="eastAsia" w:ascii="仿宋" w:hAnsi="仿宋" w:eastAsia="仿宋" w:cs="仿宋"/>
          <w:kern w:val="0"/>
          <w:sz w:val="24"/>
          <w:highlight w:val="none"/>
        </w:rPr>
        <w:t>4.具体要求：</w:t>
      </w:r>
    </w:p>
    <w:p w14:paraId="68BD4904">
      <w:pPr>
        <w:widowControl/>
        <w:kinsoku w:val="0"/>
        <w:autoSpaceDE w:val="0"/>
        <w:autoSpaceDN w:val="0"/>
        <w:adjustRightInd w:val="0"/>
        <w:snapToGrid w:val="0"/>
        <w:spacing w:line="440" w:lineRule="exact"/>
        <w:ind w:firstLine="480" w:firstLineChars="200"/>
        <w:textAlignment w:val="baseline"/>
        <w:rPr>
          <w:rFonts w:hint="eastAsia" w:ascii="仿宋" w:hAnsi="仿宋" w:eastAsia="仿宋" w:cs="仿宋"/>
          <w:kern w:val="0"/>
          <w:sz w:val="24"/>
          <w:highlight w:val="none"/>
        </w:rPr>
      </w:pPr>
      <w:r>
        <w:rPr>
          <w:rFonts w:hint="eastAsia" w:ascii="仿宋" w:hAnsi="仿宋" w:eastAsia="仿宋" w:cs="仿宋"/>
          <w:kern w:val="0"/>
          <w:sz w:val="24"/>
          <w:highlight w:val="none"/>
        </w:rPr>
        <w:t>（1）第一处，在“单位名称”“项目名称”下划线处填写本采购项目的采购人名称和项目名称。</w:t>
      </w:r>
    </w:p>
    <w:p w14:paraId="14EDC42A">
      <w:pPr>
        <w:widowControl/>
        <w:kinsoku w:val="0"/>
        <w:autoSpaceDE w:val="0"/>
        <w:autoSpaceDN w:val="0"/>
        <w:adjustRightInd w:val="0"/>
        <w:snapToGrid w:val="0"/>
        <w:spacing w:line="440" w:lineRule="exact"/>
        <w:ind w:firstLine="480" w:firstLineChars="200"/>
        <w:textAlignment w:val="baseline"/>
        <w:rPr>
          <w:rFonts w:hint="eastAsia" w:ascii="仿宋" w:hAnsi="仿宋" w:eastAsia="仿宋" w:cs="仿宋"/>
          <w:kern w:val="0"/>
          <w:sz w:val="24"/>
          <w:highlight w:val="none"/>
        </w:rPr>
      </w:pPr>
      <w:r>
        <w:rPr>
          <w:rFonts w:hint="eastAsia" w:ascii="仿宋" w:hAnsi="仿宋" w:eastAsia="仿宋" w:cs="仿宋"/>
          <w:kern w:val="0"/>
          <w:sz w:val="24"/>
          <w:highlight w:val="none"/>
        </w:rPr>
        <w:t>（2）第二处，在“标的名称”下划线处填写本项目采购具体品目的名称，如是单品目，直接填写项目名称或品目名称。在“采购文件中明确的所属行业”中填写本询价通知书第一章“询价邀请”中列明的行业，一定要按照询价通知书明确的内容进行填写。</w:t>
      </w:r>
    </w:p>
    <w:p w14:paraId="0E9FDB38">
      <w:pPr>
        <w:widowControl/>
        <w:kinsoku w:val="0"/>
        <w:autoSpaceDE w:val="0"/>
        <w:autoSpaceDN w:val="0"/>
        <w:adjustRightInd w:val="0"/>
        <w:snapToGrid w:val="0"/>
        <w:spacing w:line="440" w:lineRule="exact"/>
        <w:ind w:firstLine="480" w:firstLineChars="200"/>
        <w:textAlignment w:val="baseline"/>
        <w:rPr>
          <w:rFonts w:hint="eastAsia" w:ascii="仿宋" w:hAnsi="仿宋" w:eastAsia="仿宋" w:cs="仿宋"/>
          <w:kern w:val="0"/>
          <w:sz w:val="24"/>
          <w:highlight w:val="none"/>
        </w:rPr>
      </w:pPr>
      <w:r>
        <w:rPr>
          <w:rFonts w:hint="eastAsia" w:ascii="仿宋" w:hAnsi="仿宋" w:eastAsia="仿宋" w:cs="仿宋"/>
          <w:kern w:val="0"/>
          <w:sz w:val="24"/>
          <w:highlight w:val="none"/>
        </w:rPr>
        <w:t>（3）第三处，在“企业名称”下划线处如实填写制造商名称，在“从业人员”“营业收入”“资产总额”下划线处如实填写制造商的相关信息，数据务必向制造商进行核实；如是多品目，须填写每一品目的制造商信息。</w:t>
      </w:r>
    </w:p>
    <w:p w14:paraId="24A8513F">
      <w:pPr>
        <w:widowControl/>
        <w:kinsoku w:val="0"/>
        <w:autoSpaceDE w:val="0"/>
        <w:autoSpaceDN w:val="0"/>
        <w:adjustRightInd w:val="0"/>
        <w:snapToGrid w:val="0"/>
        <w:spacing w:line="440" w:lineRule="exact"/>
        <w:ind w:firstLine="480" w:firstLineChars="200"/>
        <w:textAlignment w:val="baseline"/>
        <w:rPr>
          <w:rFonts w:hint="eastAsia" w:ascii="仿宋" w:hAnsi="仿宋" w:eastAsia="仿宋" w:cs="仿宋"/>
          <w:kern w:val="0"/>
          <w:sz w:val="24"/>
          <w:highlight w:val="none"/>
        </w:rPr>
      </w:pPr>
      <w:r>
        <w:rPr>
          <w:rFonts w:hint="eastAsia" w:ascii="仿宋" w:hAnsi="仿宋" w:eastAsia="仿宋" w:cs="仿宋"/>
          <w:kern w:val="0"/>
          <w:sz w:val="24"/>
          <w:highlight w:val="none"/>
        </w:rPr>
        <w:t>（4）第四处在“中型企业、小型企业、微型企业”下划线处如实依照300号文确定企业类型并填写制造商所属的类型。</w:t>
      </w:r>
    </w:p>
    <w:p w14:paraId="79C02D41">
      <w:pPr>
        <w:widowControl/>
        <w:kinsoku w:val="0"/>
        <w:autoSpaceDE w:val="0"/>
        <w:autoSpaceDN w:val="0"/>
        <w:adjustRightInd w:val="0"/>
        <w:snapToGrid w:val="0"/>
        <w:spacing w:line="440" w:lineRule="exact"/>
        <w:ind w:firstLine="482" w:firstLineChars="200"/>
        <w:textAlignment w:val="baseline"/>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（二）风险提示</w:t>
      </w:r>
    </w:p>
    <w:p w14:paraId="37B38456">
      <w:pPr>
        <w:autoSpaceDE w:val="0"/>
        <w:autoSpaceDN w:val="0"/>
        <w:adjustRightInd w:val="0"/>
        <w:snapToGrid w:val="0"/>
        <w:spacing w:line="440" w:lineRule="exact"/>
        <w:ind w:firstLine="480" w:firstLineChars="200"/>
        <w:textAlignment w:val="baseline"/>
        <w:rPr>
          <w:rFonts w:hint="eastAsia" w:ascii="仿宋" w:hAnsi="仿宋" w:eastAsia="仿宋" w:cs="仿宋"/>
          <w:kern w:val="0"/>
          <w:sz w:val="24"/>
          <w:highlight w:val="none"/>
        </w:rPr>
      </w:pPr>
      <w:r>
        <w:rPr>
          <w:rFonts w:hint="eastAsia" w:ascii="仿宋" w:hAnsi="仿宋" w:eastAsia="仿宋" w:cs="仿宋"/>
          <w:kern w:val="0"/>
          <w:sz w:val="24"/>
          <w:highlight w:val="none"/>
        </w:rPr>
        <w:t>1.响应人填写《中小企业声明函》的，必须如实填报，成交人享受了询价通知书规定的中小企业扶持政策的，《中小企业声明函》随成交结果公开，接受社会监督。</w:t>
      </w:r>
    </w:p>
    <w:p w14:paraId="7886B5E0">
      <w:pPr>
        <w:autoSpaceDE w:val="0"/>
        <w:autoSpaceDN w:val="0"/>
        <w:adjustRightInd w:val="0"/>
        <w:snapToGrid w:val="0"/>
        <w:spacing w:line="440" w:lineRule="exact"/>
        <w:ind w:firstLine="480" w:firstLineChars="200"/>
        <w:textAlignment w:val="baseline"/>
        <w:rPr>
          <w:rFonts w:hint="eastAsia" w:ascii="仿宋" w:hAnsi="仿宋" w:eastAsia="仿宋" w:cs="仿宋"/>
          <w:kern w:val="0"/>
          <w:sz w:val="24"/>
          <w:highlight w:val="none"/>
        </w:rPr>
      </w:pPr>
      <w:r>
        <w:rPr>
          <w:rFonts w:hint="eastAsia" w:ascii="仿宋" w:hAnsi="仿宋" w:eastAsia="仿宋" w:cs="仿宋"/>
          <w:kern w:val="0"/>
          <w:sz w:val="24"/>
          <w:highlight w:val="none"/>
        </w:rPr>
        <w:t>2.响应人提供的货物制造商本身为中小企业，但存在属于大企业的分支机构或控股股东为大企业或与大企业的负责人为同一人的情形，也不享受询价通知书规定的中小企业扶持政策。</w:t>
      </w:r>
    </w:p>
    <w:p w14:paraId="418BFA02">
      <w:pPr>
        <w:widowControl/>
        <w:kinsoku w:val="0"/>
        <w:autoSpaceDE w:val="0"/>
        <w:autoSpaceDN w:val="0"/>
        <w:adjustRightInd w:val="0"/>
        <w:snapToGrid w:val="0"/>
        <w:spacing w:line="440" w:lineRule="exact"/>
        <w:ind w:firstLine="480" w:firstLineChars="200"/>
        <w:textAlignment w:val="baseline"/>
        <w:rPr>
          <w:rFonts w:hint="eastAsia" w:ascii="仿宋" w:hAnsi="仿宋" w:eastAsia="仿宋" w:cs="仿宋"/>
          <w:kern w:val="0"/>
          <w:sz w:val="24"/>
          <w:highlight w:val="none"/>
        </w:rPr>
      </w:pPr>
      <w:r>
        <w:rPr>
          <w:rFonts w:hint="eastAsia" w:ascii="仿宋" w:hAnsi="仿宋" w:eastAsia="仿宋" w:cs="仿宋"/>
          <w:kern w:val="0"/>
          <w:sz w:val="24"/>
          <w:highlight w:val="none"/>
        </w:rPr>
        <w:t>3.响应人提供的货物既有中小企业制造货物，也有大型企业制造货物的，不享受询价通知书规定的中小企业扶持政策。</w:t>
      </w:r>
    </w:p>
    <w:p w14:paraId="7114C39E">
      <w:pPr>
        <w:pStyle w:val="19"/>
        <w:autoSpaceDE/>
        <w:autoSpaceDN/>
        <w:adjustRightInd/>
        <w:spacing w:line="440" w:lineRule="exact"/>
        <w:ind w:firstLine="0" w:firstLineChars="0"/>
        <w:rPr>
          <w:rFonts w:hint="eastAsia" w:ascii="仿宋" w:hAnsi="仿宋" w:eastAsia="仿宋" w:cs="仿宋"/>
          <w:highlight w:val="none"/>
          <w14:textOutline w14:w="4356" w14:cap="sq" w14:cmpd="sng" w14:algn="ctr">
            <w14:solidFill>
              <w14:srgbClr w14:val="000000"/>
            </w14:solidFill>
            <w14:prstDash w14:val="solid"/>
            <w14:bevel/>
          </w14:textOutline>
        </w:rPr>
      </w:pPr>
      <w:r>
        <w:rPr>
          <w:rFonts w:hint="eastAsia" w:ascii="仿宋" w:hAnsi="仿宋" w:eastAsia="仿宋" w:cs="仿宋"/>
          <w:highlight w:val="none"/>
          <w14:textOutline w14:w="4356" w14:cap="sq" w14:cmpd="sng" w14:algn="ctr">
            <w14:solidFill>
              <w14:srgbClr w14:val="000000"/>
            </w14:solidFill>
            <w14:prstDash w14:val="solid"/>
            <w14:bevel/>
          </w14:textOutline>
        </w:rPr>
        <w:t>4.响应人提供声明函内容不实的，属于提供虚假材料谋取成交，依照《中华人民共和国政府采购法》等国家有关规定追究相应责任。</w:t>
      </w:r>
    </w:p>
    <w:p w14:paraId="23653DBC">
      <w:pPr>
        <w:widowControl/>
        <w:kinsoku w:val="0"/>
        <w:autoSpaceDE w:val="0"/>
        <w:autoSpaceDN w:val="0"/>
        <w:adjustRightInd w:val="0"/>
        <w:snapToGrid w:val="0"/>
        <w:spacing w:line="360" w:lineRule="auto"/>
        <w:textAlignment w:val="baseline"/>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附表</w:t>
      </w:r>
    </w:p>
    <w:p w14:paraId="7C0AB81F">
      <w:pPr>
        <w:pStyle w:val="16"/>
        <w:spacing w:beforeAutospacing="0" w:afterAutospacing="0" w:line="350" w:lineRule="exact"/>
        <w:jc w:val="center"/>
        <w:rPr>
          <w:rFonts w:hint="eastAsia" w:ascii="仿宋" w:hAnsi="仿宋" w:eastAsia="仿宋" w:cs="仿宋"/>
          <w:snapToGrid w:val="0"/>
          <w:highlight w:val="none"/>
          <w14:textOutline w14:w="4356" w14:cap="sq" w14:cmpd="sng" w14:algn="ctr">
            <w14:solidFill>
              <w14:srgbClr w14:val="000000"/>
            </w14:solidFill>
            <w14:prstDash w14:val="solid"/>
            <w14:bevel/>
          </w14:textOutline>
        </w:rPr>
      </w:pPr>
      <w:r>
        <w:rPr>
          <w:rFonts w:hint="eastAsia" w:ascii="仿宋" w:hAnsi="仿宋" w:eastAsia="仿宋" w:cs="仿宋"/>
          <w:snapToGrid w:val="0"/>
          <w:highlight w:val="none"/>
          <w14:textOutline w14:w="4356" w14:cap="sq" w14:cmpd="sng" w14:algn="ctr">
            <w14:solidFill>
              <w14:srgbClr w14:val="000000"/>
            </w14:solidFill>
            <w14:prstDash w14:val="solid"/>
            <w14:bevel/>
          </w14:textOutline>
        </w:rPr>
        <w:t>中小企业划型标准规定</w:t>
      </w:r>
    </w:p>
    <w:p w14:paraId="5C0C9BFD">
      <w:pPr>
        <w:pStyle w:val="16"/>
        <w:spacing w:beforeAutospacing="0" w:afterAutospacing="0" w:line="350" w:lineRule="exact"/>
        <w:jc w:val="center"/>
        <w:rPr>
          <w:rFonts w:hint="eastAsia" w:ascii="仿宋" w:hAnsi="仿宋" w:eastAsia="仿宋" w:cs="仿宋"/>
          <w:b/>
          <w:bCs/>
          <w:highlight w:val="none"/>
        </w:rPr>
      </w:pPr>
      <w:r>
        <w:rPr>
          <w:rFonts w:hint="eastAsia" w:ascii="仿宋" w:hAnsi="仿宋" w:eastAsia="仿宋" w:cs="仿宋"/>
          <w:b/>
          <w:bCs/>
          <w:highlight w:val="none"/>
        </w:rPr>
        <w:t>（</w:t>
      </w:r>
      <w:r>
        <w:rPr>
          <w:rFonts w:hint="eastAsia" w:ascii="仿宋" w:hAnsi="仿宋" w:eastAsia="仿宋" w:cs="仿宋"/>
          <w:highlight w:val="none"/>
        </w:rPr>
        <w:t>工信部联企业〔2011〕300号</w:t>
      </w:r>
      <w:r>
        <w:rPr>
          <w:rFonts w:hint="eastAsia" w:ascii="仿宋" w:hAnsi="仿宋" w:eastAsia="仿宋" w:cs="仿宋"/>
          <w:b/>
          <w:bCs/>
          <w:highlight w:val="none"/>
        </w:rPr>
        <w:t>）</w:t>
      </w:r>
    </w:p>
    <w:p w14:paraId="437302A2">
      <w:pPr>
        <w:pStyle w:val="16"/>
        <w:spacing w:beforeAutospacing="0" w:afterAutospacing="0" w:line="350" w:lineRule="exact"/>
        <w:jc w:val="right"/>
        <w:rPr>
          <w:rFonts w:hint="eastAsia" w:ascii="仿宋" w:hAnsi="仿宋" w:eastAsia="仿宋" w:cs="仿宋"/>
          <w:b/>
          <w:bCs/>
          <w:highlight w:val="none"/>
        </w:rPr>
      </w:pPr>
      <w:r>
        <w:rPr>
          <w:rFonts w:hint="eastAsia" w:ascii="仿宋" w:hAnsi="仿宋" w:eastAsia="仿宋" w:cs="仿宋"/>
          <w:b/>
          <w:bCs/>
          <w:highlight w:val="none"/>
        </w:rPr>
        <w:t>---（摘要）</w:t>
      </w:r>
    </w:p>
    <w:p w14:paraId="732843DF">
      <w:pPr>
        <w:pStyle w:val="16"/>
        <w:numPr>
          <w:ilvl w:val="0"/>
          <w:numId w:val="5"/>
        </w:numPr>
        <w:kinsoku w:val="0"/>
        <w:autoSpaceDE w:val="0"/>
        <w:autoSpaceDN w:val="0"/>
        <w:adjustRightInd w:val="0"/>
        <w:snapToGrid w:val="0"/>
        <w:spacing w:beforeAutospacing="0" w:afterAutospacing="0" w:line="360" w:lineRule="auto"/>
        <w:jc w:val="both"/>
        <w:textAlignment w:val="baseline"/>
        <w:rPr>
          <w:rFonts w:hint="eastAsia" w:ascii="仿宋" w:hAnsi="仿宋" w:eastAsia="仿宋" w:cs="仿宋"/>
          <w:highlight w:val="none"/>
        </w:rPr>
      </w:pPr>
      <w:r>
        <w:rPr>
          <w:rFonts w:hint="eastAsia" w:ascii="仿宋" w:hAnsi="仿宋" w:eastAsia="仿宋" w:cs="仿宋"/>
          <w:highlight w:val="none"/>
        </w:rPr>
        <w:t>本规定适用的行业包括：</w:t>
      </w:r>
    </w:p>
    <w:p w14:paraId="05F1DF9A">
      <w:pPr>
        <w:kinsoku w:val="0"/>
        <w:autoSpaceDE w:val="0"/>
        <w:autoSpaceDN w:val="0"/>
        <w:adjustRightInd w:val="0"/>
        <w:snapToGrid w:val="0"/>
        <w:spacing w:before="79" w:beforeLines="25" w:line="360" w:lineRule="auto"/>
        <w:ind w:firstLine="480" w:firstLineChars="200"/>
        <w:textAlignment w:val="baseline"/>
        <w:rPr>
          <w:rFonts w:hint="eastAsia" w:ascii="仿宋" w:hAnsi="仿宋" w:eastAsia="仿宋" w:cs="仿宋"/>
          <w:sz w:val="24"/>
          <w:highlight w:val="none"/>
        </w:rPr>
      </w:pPr>
      <w:r>
        <w:rPr>
          <w:rFonts w:hint="eastAsia" w:ascii="仿宋" w:hAnsi="仿宋" w:eastAsia="仿宋" w:cs="仿宋"/>
          <w:sz w:val="24"/>
          <w:highlight w:val="none"/>
        </w:rPr>
        <w:t>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34CFE71">
      <w:pPr>
        <w:kinsoku w:val="0"/>
        <w:autoSpaceDE w:val="0"/>
        <w:autoSpaceDN w:val="0"/>
        <w:adjustRightInd w:val="0"/>
        <w:snapToGrid w:val="0"/>
        <w:spacing w:before="79" w:beforeLines="25"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二、各行业划型标准为：</w:t>
      </w:r>
    </w:p>
    <w:p w14:paraId="465DF3E2">
      <w:pPr>
        <w:kinsoku w:val="0"/>
        <w:autoSpaceDE w:val="0"/>
        <w:autoSpaceDN w:val="0"/>
        <w:adjustRightInd w:val="0"/>
        <w:snapToGrid w:val="0"/>
        <w:spacing w:before="79" w:beforeLines="25"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　　</w:t>
      </w:r>
      <w:r>
        <w:rPr>
          <w:rFonts w:hint="eastAsia" w:ascii="仿宋" w:hAnsi="仿宋" w:eastAsia="仿宋" w:cs="仿宋"/>
          <w:b/>
          <w:bCs/>
          <w:sz w:val="24"/>
          <w:highlight w:val="none"/>
        </w:rPr>
        <w:t>（一）农、林、牧、渔业。</w:t>
      </w:r>
      <w:r>
        <w:rPr>
          <w:rFonts w:hint="eastAsia" w:ascii="仿宋" w:hAnsi="仿宋" w:eastAsia="仿宋" w:cs="仿宋"/>
          <w:sz w:val="24"/>
          <w:highlight w:val="none"/>
        </w:rPr>
        <w:t>营业收入20000万元以下的为中小微型企业。其中，营业收入500万元及以上的为中型企业，营业收入50万元及以上的为小型企业，营业收入50万元以下的为微型企业。</w:t>
      </w:r>
    </w:p>
    <w:p w14:paraId="18C7C161">
      <w:pPr>
        <w:kinsoku w:val="0"/>
        <w:autoSpaceDE w:val="0"/>
        <w:autoSpaceDN w:val="0"/>
        <w:adjustRightInd w:val="0"/>
        <w:snapToGrid w:val="0"/>
        <w:spacing w:before="159" w:beforeLines="50"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　</w:t>
      </w:r>
      <w:r>
        <w:rPr>
          <w:rFonts w:hint="eastAsia" w:ascii="仿宋" w:hAnsi="仿宋" w:eastAsia="仿宋" w:cs="仿宋"/>
          <w:b/>
          <w:bCs/>
          <w:sz w:val="24"/>
          <w:highlight w:val="none"/>
        </w:rPr>
        <w:t>　（二）工业。</w:t>
      </w:r>
      <w:r>
        <w:rPr>
          <w:rFonts w:hint="eastAsia" w:ascii="仿宋" w:hAnsi="仿宋" w:eastAsia="仿宋" w:cs="仿宋"/>
          <w:sz w:val="24"/>
          <w:highlight w:val="none"/>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DE2C25E">
      <w:pPr>
        <w:kinsoku w:val="0"/>
        <w:autoSpaceDE w:val="0"/>
        <w:autoSpaceDN w:val="0"/>
        <w:adjustRightInd w:val="0"/>
        <w:snapToGrid w:val="0"/>
        <w:spacing w:before="105" w:beforeLines="33"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　　</w:t>
      </w:r>
      <w:r>
        <w:rPr>
          <w:rFonts w:hint="eastAsia" w:ascii="仿宋" w:hAnsi="仿宋" w:eastAsia="仿宋" w:cs="仿宋"/>
          <w:b/>
          <w:bCs/>
          <w:sz w:val="24"/>
          <w:highlight w:val="none"/>
        </w:rPr>
        <w:t>（三）建筑业。</w:t>
      </w:r>
      <w:r>
        <w:rPr>
          <w:rFonts w:hint="eastAsia" w:ascii="仿宋" w:hAnsi="仿宋" w:eastAsia="仿宋" w:cs="仿宋"/>
          <w:sz w:val="24"/>
          <w:highlight w:val="none"/>
        </w:rPr>
        <w:t>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153DBE07">
      <w:pPr>
        <w:kinsoku w:val="0"/>
        <w:autoSpaceDE w:val="0"/>
        <w:autoSpaceDN w:val="0"/>
        <w:adjustRightInd w:val="0"/>
        <w:snapToGrid w:val="0"/>
        <w:spacing w:before="102" w:beforeLines="32"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　　</w:t>
      </w:r>
      <w:r>
        <w:rPr>
          <w:rFonts w:hint="eastAsia" w:ascii="仿宋" w:hAnsi="仿宋" w:eastAsia="仿宋" w:cs="仿宋"/>
          <w:b/>
          <w:bCs/>
          <w:sz w:val="24"/>
          <w:highlight w:val="none"/>
        </w:rPr>
        <w:t>（四）批发业。</w:t>
      </w:r>
      <w:r>
        <w:rPr>
          <w:rFonts w:hint="eastAsia" w:ascii="仿宋" w:hAnsi="仿宋" w:eastAsia="仿宋" w:cs="仿宋"/>
          <w:sz w:val="24"/>
          <w:highlight w:val="none"/>
        </w:rPr>
        <w:t>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18F08482">
      <w:pPr>
        <w:kinsoku w:val="0"/>
        <w:autoSpaceDE w:val="0"/>
        <w:autoSpaceDN w:val="0"/>
        <w:adjustRightInd w:val="0"/>
        <w:snapToGrid w:val="0"/>
        <w:spacing w:before="159" w:beforeLines="50"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　</w:t>
      </w:r>
      <w:r>
        <w:rPr>
          <w:rFonts w:hint="eastAsia" w:ascii="仿宋" w:hAnsi="仿宋" w:eastAsia="仿宋" w:cs="仿宋"/>
          <w:b/>
          <w:bCs/>
          <w:sz w:val="24"/>
          <w:highlight w:val="none"/>
        </w:rPr>
        <w:t>　（五）零售业。</w:t>
      </w:r>
      <w:r>
        <w:rPr>
          <w:rFonts w:hint="eastAsia" w:ascii="仿宋" w:hAnsi="仿宋" w:eastAsia="仿宋" w:cs="仿宋"/>
          <w:sz w:val="24"/>
          <w:highlight w:val="none"/>
        </w:rPr>
        <w:t>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9497287">
      <w:pPr>
        <w:kinsoku w:val="0"/>
        <w:autoSpaceDE w:val="0"/>
        <w:autoSpaceDN w:val="0"/>
        <w:adjustRightInd w:val="0"/>
        <w:snapToGrid w:val="0"/>
        <w:spacing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　</w:t>
      </w:r>
      <w:r>
        <w:rPr>
          <w:rFonts w:hint="eastAsia" w:ascii="仿宋" w:hAnsi="仿宋" w:eastAsia="仿宋" w:cs="仿宋"/>
          <w:b/>
          <w:bCs/>
          <w:sz w:val="24"/>
          <w:highlight w:val="none"/>
        </w:rPr>
        <w:t>　（六）交通运输业。</w:t>
      </w:r>
      <w:r>
        <w:rPr>
          <w:rFonts w:hint="eastAsia" w:ascii="仿宋" w:hAnsi="仿宋" w:eastAsia="仿宋" w:cs="仿宋"/>
          <w:sz w:val="24"/>
          <w:highlight w:val="none"/>
        </w:rPr>
        <w:t>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69651DE3">
      <w:pPr>
        <w:kinsoku w:val="0"/>
        <w:autoSpaceDE w:val="0"/>
        <w:autoSpaceDN w:val="0"/>
        <w:adjustRightInd w:val="0"/>
        <w:snapToGrid w:val="0"/>
        <w:spacing w:before="159" w:beforeLines="50"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　</w:t>
      </w:r>
      <w:r>
        <w:rPr>
          <w:rFonts w:hint="eastAsia" w:ascii="仿宋" w:hAnsi="仿宋" w:eastAsia="仿宋" w:cs="仿宋"/>
          <w:b/>
          <w:bCs/>
          <w:sz w:val="24"/>
          <w:highlight w:val="none"/>
        </w:rPr>
        <w:t>　（七）仓储业。</w:t>
      </w:r>
      <w:r>
        <w:rPr>
          <w:rFonts w:hint="eastAsia" w:ascii="仿宋" w:hAnsi="仿宋" w:eastAsia="仿宋" w:cs="仿宋"/>
          <w:sz w:val="24"/>
          <w:highlight w:val="none"/>
        </w:rPr>
        <w:t>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A84A51D">
      <w:pPr>
        <w:kinsoku w:val="0"/>
        <w:autoSpaceDE w:val="0"/>
        <w:autoSpaceDN w:val="0"/>
        <w:adjustRightInd w:val="0"/>
        <w:snapToGrid w:val="0"/>
        <w:spacing w:before="159" w:beforeLines="50"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　　</w:t>
      </w:r>
      <w:r>
        <w:rPr>
          <w:rFonts w:hint="eastAsia" w:ascii="仿宋" w:hAnsi="仿宋" w:eastAsia="仿宋" w:cs="仿宋"/>
          <w:b/>
          <w:bCs/>
          <w:sz w:val="24"/>
          <w:highlight w:val="none"/>
        </w:rPr>
        <w:t>（八）邮政业。</w:t>
      </w:r>
      <w:r>
        <w:rPr>
          <w:rFonts w:hint="eastAsia" w:ascii="仿宋" w:hAnsi="仿宋" w:eastAsia="仿宋" w:cs="仿宋"/>
          <w:sz w:val="24"/>
          <w:highlight w:val="none"/>
        </w:rPr>
        <w:t>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0686B61">
      <w:pPr>
        <w:kinsoku w:val="0"/>
        <w:autoSpaceDE w:val="0"/>
        <w:autoSpaceDN w:val="0"/>
        <w:adjustRightInd w:val="0"/>
        <w:snapToGrid w:val="0"/>
        <w:spacing w:before="159" w:beforeLines="50"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　</w:t>
      </w:r>
      <w:r>
        <w:rPr>
          <w:rFonts w:hint="eastAsia" w:ascii="仿宋" w:hAnsi="仿宋" w:eastAsia="仿宋" w:cs="仿宋"/>
          <w:b/>
          <w:bCs/>
          <w:sz w:val="24"/>
          <w:highlight w:val="none"/>
        </w:rPr>
        <w:t>　（九）住宿业。</w:t>
      </w:r>
      <w:r>
        <w:rPr>
          <w:rFonts w:hint="eastAsia" w:ascii="仿宋" w:hAnsi="仿宋" w:eastAsia="仿宋" w:cs="仿宋"/>
          <w:sz w:val="24"/>
          <w:highlight w:val="none"/>
        </w:rPr>
        <w:t>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5691B10">
      <w:pPr>
        <w:kinsoku w:val="0"/>
        <w:autoSpaceDE w:val="0"/>
        <w:autoSpaceDN w:val="0"/>
        <w:adjustRightInd w:val="0"/>
        <w:snapToGrid w:val="0"/>
        <w:spacing w:before="159" w:beforeLines="50"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　　</w:t>
      </w:r>
      <w:r>
        <w:rPr>
          <w:rFonts w:hint="eastAsia" w:ascii="仿宋" w:hAnsi="仿宋" w:eastAsia="仿宋" w:cs="仿宋"/>
          <w:b/>
          <w:bCs/>
          <w:sz w:val="24"/>
          <w:highlight w:val="none"/>
        </w:rPr>
        <w:t>（十）餐饮业。</w:t>
      </w:r>
      <w:r>
        <w:rPr>
          <w:rFonts w:hint="eastAsia" w:ascii="仿宋" w:hAnsi="仿宋" w:eastAsia="仿宋" w:cs="仿宋"/>
          <w:sz w:val="24"/>
          <w:highlight w:val="none"/>
        </w:rPr>
        <w:t>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3B030DE">
      <w:pPr>
        <w:kinsoku w:val="0"/>
        <w:autoSpaceDE w:val="0"/>
        <w:autoSpaceDN w:val="0"/>
        <w:adjustRightInd w:val="0"/>
        <w:snapToGrid w:val="0"/>
        <w:spacing w:before="60" w:beforeLines="19"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　　</w:t>
      </w:r>
      <w:r>
        <w:rPr>
          <w:rFonts w:hint="eastAsia" w:ascii="仿宋" w:hAnsi="仿宋" w:eastAsia="仿宋" w:cs="仿宋"/>
          <w:b/>
          <w:bCs/>
          <w:sz w:val="24"/>
          <w:highlight w:val="none"/>
        </w:rPr>
        <w:t>（十一）信息传输业。</w:t>
      </w:r>
      <w:r>
        <w:rPr>
          <w:rFonts w:hint="eastAsia" w:ascii="仿宋" w:hAnsi="仿宋" w:eastAsia="仿宋" w:cs="仿宋"/>
          <w:sz w:val="24"/>
          <w:highlight w:val="none"/>
        </w:rPr>
        <w:t>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ACA30C8">
      <w:pPr>
        <w:kinsoku w:val="0"/>
        <w:autoSpaceDE w:val="0"/>
        <w:autoSpaceDN w:val="0"/>
        <w:adjustRightInd w:val="0"/>
        <w:snapToGrid w:val="0"/>
        <w:spacing w:before="159" w:beforeLines="50"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　　</w:t>
      </w:r>
      <w:r>
        <w:rPr>
          <w:rFonts w:hint="eastAsia" w:ascii="仿宋" w:hAnsi="仿宋" w:eastAsia="仿宋" w:cs="仿宋"/>
          <w:b/>
          <w:bCs/>
          <w:sz w:val="24"/>
          <w:highlight w:val="none"/>
        </w:rPr>
        <w:t>（十二）软件和信息技术服务业。</w:t>
      </w:r>
      <w:r>
        <w:rPr>
          <w:rFonts w:hint="eastAsia" w:ascii="仿宋" w:hAnsi="仿宋" w:eastAsia="仿宋" w:cs="仿宋"/>
          <w:sz w:val="24"/>
          <w:highlight w:val="none"/>
        </w:rPr>
        <w:t>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5C93564">
      <w:pPr>
        <w:kinsoku w:val="0"/>
        <w:autoSpaceDE w:val="0"/>
        <w:autoSpaceDN w:val="0"/>
        <w:adjustRightInd w:val="0"/>
        <w:snapToGrid w:val="0"/>
        <w:spacing w:before="159" w:beforeLines="50"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　</w:t>
      </w:r>
      <w:r>
        <w:rPr>
          <w:rFonts w:hint="eastAsia" w:ascii="仿宋" w:hAnsi="仿宋" w:eastAsia="仿宋" w:cs="仿宋"/>
          <w:b/>
          <w:bCs/>
          <w:sz w:val="24"/>
          <w:highlight w:val="none"/>
        </w:rPr>
        <w:t>　（十三）房地产开发经营。</w:t>
      </w:r>
      <w:r>
        <w:rPr>
          <w:rFonts w:hint="eastAsia" w:ascii="仿宋" w:hAnsi="仿宋" w:eastAsia="仿宋" w:cs="仿宋"/>
          <w:sz w:val="24"/>
          <w:highlight w:val="none"/>
        </w:rPr>
        <w:t>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29BA21C">
      <w:pPr>
        <w:kinsoku w:val="0"/>
        <w:autoSpaceDE w:val="0"/>
        <w:autoSpaceDN w:val="0"/>
        <w:adjustRightInd w:val="0"/>
        <w:snapToGrid w:val="0"/>
        <w:spacing w:before="159" w:beforeLines="50"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　　</w:t>
      </w:r>
      <w:r>
        <w:rPr>
          <w:rFonts w:hint="eastAsia" w:ascii="仿宋" w:hAnsi="仿宋" w:eastAsia="仿宋" w:cs="仿宋"/>
          <w:b/>
          <w:bCs/>
          <w:sz w:val="24"/>
          <w:highlight w:val="none"/>
        </w:rPr>
        <w:t>（十四）物业管理。</w:t>
      </w:r>
      <w:r>
        <w:rPr>
          <w:rFonts w:hint="eastAsia" w:ascii="仿宋" w:hAnsi="仿宋" w:eastAsia="仿宋" w:cs="仿宋"/>
          <w:sz w:val="24"/>
          <w:highlight w:val="none"/>
        </w:rPr>
        <w:t>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28964A2">
      <w:pPr>
        <w:kinsoku w:val="0"/>
        <w:autoSpaceDE w:val="0"/>
        <w:autoSpaceDN w:val="0"/>
        <w:adjustRightInd w:val="0"/>
        <w:snapToGrid w:val="0"/>
        <w:spacing w:before="159" w:beforeLines="50"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　　</w:t>
      </w:r>
      <w:r>
        <w:rPr>
          <w:rFonts w:hint="eastAsia" w:ascii="仿宋" w:hAnsi="仿宋" w:eastAsia="仿宋" w:cs="仿宋"/>
          <w:b/>
          <w:bCs/>
          <w:sz w:val="24"/>
          <w:highlight w:val="none"/>
        </w:rPr>
        <w:t>（十五）租赁和商务服务业。</w:t>
      </w:r>
      <w:r>
        <w:rPr>
          <w:rFonts w:hint="eastAsia" w:ascii="仿宋" w:hAnsi="仿宋" w:eastAsia="仿宋" w:cs="仿宋"/>
          <w:sz w:val="24"/>
          <w:highlight w:val="none"/>
        </w:rPr>
        <w:t>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8A97F4E">
      <w:pPr>
        <w:kinsoku w:val="0"/>
        <w:autoSpaceDE w:val="0"/>
        <w:autoSpaceDN w:val="0"/>
        <w:adjustRightInd w:val="0"/>
        <w:snapToGrid w:val="0"/>
        <w:spacing w:before="159" w:beforeLines="50"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　</w:t>
      </w:r>
      <w:r>
        <w:rPr>
          <w:rFonts w:hint="eastAsia" w:ascii="仿宋" w:hAnsi="仿宋" w:eastAsia="仿宋" w:cs="仿宋"/>
          <w:b/>
          <w:bCs/>
          <w:sz w:val="24"/>
          <w:highlight w:val="none"/>
        </w:rPr>
        <w:t>　（十六）其他未列明行业。</w:t>
      </w:r>
      <w:r>
        <w:rPr>
          <w:rFonts w:hint="eastAsia" w:ascii="仿宋" w:hAnsi="仿宋" w:eastAsia="仿宋" w:cs="仿宋"/>
          <w:sz w:val="24"/>
          <w:highlight w:val="none"/>
        </w:rPr>
        <w:t>从业人员300人以下的为中小微型企业。其中，从业人员100人及以上的为中型企业；从业人员10人及以上的为小型企业；从业人员10人以下的为微型企业。</w:t>
      </w:r>
    </w:p>
    <w:p w14:paraId="609D1D43">
      <w:pPr>
        <w:kinsoku w:val="0"/>
        <w:autoSpaceDE w:val="0"/>
        <w:autoSpaceDN w:val="0"/>
        <w:adjustRightInd w:val="0"/>
        <w:snapToGrid w:val="0"/>
        <w:spacing w:before="159" w:beforeLines="50" w:line="360" w:lineRule="auto"/>
        <w:textAlignment w:val="baseline"/>
        <w:rPr>
          <w:rFonts w:hint="eastAsia" w:ascii="仿宋" w:hAnsi="仿宋" w:eastAsia="仿宋" w:cs="仿宋"/>
          <w:sz w:val="24"/>
          <w:highlight w:val="none"/>
        </w:rPr>
      </w:pPr>
      <w:r>
        <w:rPr>
          <w:rFonts w:hint="eastAsia" w:ascii="仿宋" w:hAnsi="仿宋" w:eastAsia="仿宋" w:cs="仿宋"/>
          <w:sz w:val="24"/>
          <w:highlight w:val="none"/>
        </w:rPr>
        <w:t>三、本规定适用于在中华人民共和国境内依法设立的各类所有制和各种组织形式的企业。个体工商户和本规定以外的行业，参照本规定进行划型。</w:t>
      </w:r>
    </w:p>
    <w:p w14:paraId="7C077FDE">
      <w:pPr>
        <w:pStyle w:val="15"/>
        <w:rPr>
          <w:rFonts w:hint="eastAsia" w:ascii="仿宋" w:hAnsi="仿宋" w:eastAsia="仿宋" w:cs="仿宋"/>
          <w:highlight w:val="none"/>
        </w:rPr>
      </w:pPr>
      <w:r>
        <w:rPr>
          <w:rFonts w:hint="eastAsia" w:ascii="仿宋" w:hAnsi="仿宋" w:eastAsia="仿宋" w:cs="仿宋"/>
          <w:highlight w:val="none"/>
        </w:rPr>
        <w:t>四、本规定的中型企业标准上限即为大型企业标准的下限，国家统计部门据此制定大中小微型企业的统计分类。国务院有关部门据此进行相关数据分析，不得制定与本规定不一致的企业划型标准。</w:t>
      </w:r>
    </w:p>
    <w:p w14:paraId="3C64835F">
      <w:pPr>
        <w:rPr>
          <w:rFonts w:hint="eastAsia" w:ascii="仿宋" w:hAnsi="仿宋" w:eastAsia="仿宋" w:cs="仿宋"/>
          <w:b/>
          <w:bCs/>
          <w:sz w:val="24"/>
          <w:highlight w:val="none"/>
        </w:rPr>
      </w:pPr>
      <w:r>
        <w:rPr>
          <w:rFonts w:hint="eastAsia" w:ascii="仿宋" w:hAnsi="仿宋" w:eastAsia="仿宋" w:cs="仿宋"/>
          <w:b/>
          <w:bCs/>
          <w:sz w:val="24"/>
          <w:highlight w:val="none"/>
        </w:rPr>
        <w:br w:type="page"/>
      </w:r>
    </w:p>
    <w:p w14:paraId="1D53CBF5">
      <w:pPr>
        <w:pStyle w:val="4"/>
        <w:jc w:val="center"/>
        <w:rPr>
          <w:rFonts w:hint="eastAsia" w:ascii="仿宋" w:hAnsi="仿宋" w:eastAsia="仿宋" w:cs="仿宋"/>
          <w:highlight w:val="none"/>
        </w:rPr>
      </w:pPr>
      <w:bookmarkStart w:id="239" w:name="_Toc5021"/>
      <w:bookmarkStart w:id="240" w:name="_Toc15827"/>
      <w:bookmarkStart w:id="241" w:name="_Toc4593"/>
      <w:bookmarkStart w:id="242" w:name="_Toc29826"/>
      <w:bookmarkStart w:id="243" w:name="_Toc463859543"/>
      <w:bookmarkStart w:id="244" w:name="_Toc406058178"/>
      <w:bookmarkStart w:id="245" w:name="_Toc27225"/>
      <w:bookmarkStart w:id="246" w:name="_Toc28497"/>
      <w:bookmarkStart w:id="247" w:name="_Toc475970897"/>
      <w:r>
        <w:rPr>
          <w:rFonts w:hint="eastAsia" w:ascii="仿宋" w:hAnsi="仿宋" w:eastAsia="仿宋" w:cs="仿宋"/>
          <w:sz w:val="28"/>
          <w:szCs w:val="28"/>
          <w:highlight w:val="none"/>
        </w:rPr>
        <w:t>8、省级以上监狱管理局、戒毒管理局（含新疆生产建设兵团）出具的属于监狱企业证明文件</w:t>
      </w:r>
      <w:bookmarkEnd w:id="239"/>
      <w:bookmarkEnd w:id="240"/>
      <w:bookmarkEnd w:id="241"/>
      <w:bookmarkEnd w:id="242"/>
      <w:bookmarkEnd w:id="243"/>
      <w:bookmarkEnd w:id="244"/>
      <w:bookmarkEnd w:id="245"/>
      <w:bookmarkEnd w:id="246"/>
      <w:bookmarkEnd w:id="247"/>
    </w:p>
    <w:p w14:paraId="2573FD55">
      <w:pPr>
        <w:spacing w:line="360" w:lineRule="auto"/>
        <w:rPr>
          <w:rFonts w:hint="eastAsia" w:ascii="仿宋" w:hAnsi="仿宋" w:eastAsia="仿宋" w:cs="仿宋"/>
          <w:b/>
          <w:bCs/>
          <w:sz w:val="24"/>
          <w:highlight w:val="none"/>
        </w:rPr>
      </w:pPr>
    </w:p>
    <w:p w14:paraId="77E594D0">
      <w:pPr>
        <w:spacing w:line="360" w:lineRule="auto"/>
        <w:rPr>
          <w:rFonts w:hint="eastAsia" w:ascii="仿宋" w:hAnsi="仿宋" w:eastAsia="仿宋" w:cs="仿宋"/>
          <w:b/>
          <w:bCs/>
          <w:sz w:val="24"/>
          <w:highlight w:val="none"/>
        </w:rPr>
      </w:pPr>
    </w:p>
    <w:p w14:paraId="26DC262C">
      <w:pPr>
        <w:spacing w:line="360" w:lineRule="auto"/>
        <w:rPr>
          <w:rFonts w:hint="eastAsia" w:ascii="仿宋" w:hAnsi="仿宋" w:eastAsia="仿宋" w:cs="仿宋"/>
          <w:b/>
          <w:bCs/>
          <w:sz w:val="24"/>
          <w:highlight w:val="none"/>
        </w:rPr>
      </w:pPr>
    </w:p>
    <w:p w14:paraId="07451A53">
      <w:pPr>
        <w:spacing w:line="360" w:lineRule="auto"/>
        <w:rPr>
          <w:rFonts w:hint="eastAsia" w:ascii="仿宋" w:hAnsi="仿宋" w:eastAsia="仿宋" w:cs="仿宋"/>
          <w:b/>
          <w:bCs/>
          <w:sz w:val="24"/>
          <w:highlight w:val="none"/>
        </w:rPr>
      </w:pPr>
    </w:p>
    <w:p w14:paraId="575BC37B">
      <w:pPr>
        <w:spacing w:line="360" w:lineRule="auto"/>
        <w:rPr>
          <w:rFonts w:hint="eastAsia" w:ascii="仿宋" w:hAnsi="仿宋" w:eastAsia="仿宋" w:cs="仿宋"/>
          <w:b/>
          <w:bCs/>
          <w:sz w:val="24"/>
          <w:highlight w:val="none"/>
        </w:rPr>
      </w:pPr>
    </w:p>
    <w:p w14:paraId="65AAE527">
      <w:pPr>
        <w:spacing w:line="360"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rPr>
        <w:t>注</w:t>
      </w:r>
      <w:r>
        <w:rPr>
          <w:rFonts w:hint="eastAsia" w:ascii="仿宋" w:hAnsi="仿宋" w:eastAsia="仿宋" w:cs="仿宋"/>
          <w:sz w:val="24"/>
          <w:highlight w:val="none"/>
        </w:rPr>
        <w:t>：1、省级以上监狱管理局、戒毒管理局（含新疆生产建设兵团）出具的属于监狱企业证明文件格式由出具单位提供；</w:t>
      </w:r>
    </w:p>
    <w:p w14:paraId="6948A059">
      <w:pPr>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2、不属于监狱企业的不需提供。</w:t>
      </w:r>
    </w:p>
    <w:p w14:paraId="660D06AC">
      <w:pPr>
        <w:rPr>
          <w:rFonts w:hint="eastAsia" w:ascii="仿宋" w:hAnsi="仿宋" w:eastAsia="仿宋" w:cs="仿宋"/>
          <w:sz w:val="24"/>
          <w:highlight w:val="none"/>
        </w:rPr>
      </w:pPr>
      <w:r>
        <w:rPr>
          <w:rFonts w:hint="eastAsia" w:ascii="仿宋" w:hAnsi="仿宋" w:eastAsia="仿宋" w:cs="仿宋"/>
          <w:sz w:val="24"/>
          <w:highlight w:val="none"/>
        </w:rPr>
        <w:br w:type="page"/>
      </w:r>
    </w:p>
    <w:p w14:paraId="46BB5B69">
      <w:pPr>
        <w:pStyle w:val="4"/>
        <w:jc w:val="center"/>
        <w:rPr>
          <w:rFonts w:hint="eastAsia" w:ascii="仿宋" w:hAnsi="仿宋" w:eastAsia="仿宋" w:cs="仿宋"/>
          <w:szCs w:val="28"/>
          <w:highlight w:val="none"/>
        </w:rPr>
      </w:pPr>
      <w:bookmarkStart w:id="248" w:name="_Toc8063"/>
      <w:bookmarkStart w:id="249" w:name="_Toc9968"/>
      <w:bookmarkStart w:id="250" w:name="_Toc19610"/>
      <w:r>
        <w:rPr>
          <w:rFonts w:hint="eastAsia" w:ascii="仿宋" w:hAnsi="仿宋" w:eastAsia="仿宋" w:cs="仿宋"/>
          <w:sz w:val="28"/>
          <w:szCs w:val="28"/>
          <w:highlight w:val="none"/>
        </w:rPr>
        <w:t>9、残疾人福利性单位声明函</w:t>
      </w:r>
      <w:bookmarkEnd w:id="248"/>
      <w:bookmarkEnd w:id="249"/>
      <w:bookmarkEnd w:id="250"/>
    </w:p>
    <w:p w14:paraId="19357238">
      <w:pPr>
        <w:jc w:val="center"/>
        <w:rPr>
          <w:rFonts w:hint="eastAsia" w:ascii="仿宋" w:hAnsi="仿宋" w:eastAsia="仿宋" w:cs="仿宋"/>
          <w:b/>
          <w:bCs/>
          <w:sz w:val="28"/>
          <w:szCs w:val="28"/>
          <w:highlight w:val="none"/>
        </w:rPr>
      </w:pPr>
    </w:p>
    <w:p w14:paraId="2FBAFCC2">
      <w:pPr>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残疾人福利性单位声明函</w:t>
      </w:r>
    </w:p>
    <w:p w14:paraId="57CCAEBC">
      <w:pPr>
        <w:spacing w:line="360" w:lineRule="auto"/>
        <w:rPr>
          <w:rFonts w:hint="eastAsia" w:ascii="仿宋" w:hAnsi="仿宋" w:eastAsia="仿宋" w:cs="仿宋"/>
          <w:sz w:val="24"/>
          <w:highlight w:val="none"/>
        </w:rPr>
      </w:pPr>
    </w:p>
    <w:p w14:paraId="531796C7">
      <w:pPr>
        <w:spacing w:line="360" w:lineRule="auto"/>
        <w:rPr>
          <w:rFonts w:hint="eastAsia" w:ascii="仿宋" w:hAnsi="仿宋" w:eastAsia="仿宋" w:cs="仿宋"/>
          <w:sz w:val="24"/>
          <w:highlight w:val="none"/>
        </w:rPr>
      </w:pPr>
    </w:p>
    <w:p w14:paraId="5895C3F1">
      <w:pPr>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DC88204">
      <w:pPr>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本单位对上述声明的真实性负责。如有虚假，将依法承担相应责任。</w:t>
      </w:r>
    </w:p>
    <w:p w14:paraId="2EBF64B5">
      <w:pPr>
        <w:spacing w:line="360" w:lineRule="auto"/>
        <w:ind w:firstLine="480" w:firstLineChars="200"/>
        <w:rPr>
          <w:rFonts w:hint="eastAsia" w:ascii="仿宋" w:hAnsi="仿宋" w:eastAsia="仿宋" w:cs="仿宋"/>
          <w:sz w:val="24"/>
          <w:highlight w:val="none"/>
        </w:rPr>
      </w:pPr>
    </w:p>
    <w:p w14:paraId="5E285155">
      <w:pPr>
        <w:spacing w:line="360" w:lineRule="auto"/>
        <w:ind w:firstLine="480" w:firstLineChars="200"/>
        <w:rPr>
          <w:rFonts w:hint="eastAsia" w:ascii="仿宋" w:hAnsi="仿宋" w:eastAsia="仿宋" w:cs="仿宋"/>
          <w:sz w:val="24"/>
          <w:highlight w:val="none"/>
        </w:rPr>
      </w:pPr>
    </w:p>
    <w:p w14:paraId="10288A7C">
      <w:pPr>
        <w:spacing w:line="360" w:lineRule="auto"/>
        <w:rPr>
          <w:rFonts w:hint="eastAsia" w:ascii="仿宋" w:hAnsi="仿宋" w:eastAsia="仿宋" w:cs="仿宋"/>
          <w:sz w:val="24"/>
          <w:highlight w:val="none"/>
        </w:rPr>
      </w:pPr>
    </w:p>
    <w:p w14:paraId="791F52A6">
      <w:pPr>
        <w:spacing w:line="360" w:lineRule="auto"/>
        <w:rPr>
          <w:rFonts w:hint="eastAsia" w:ascii="仿宋" w:hAnsi="仿宋" w:eastAsia="仿宋" w:cs="仿宋"/>
          <w:sz w:val="24"/>
          <w:highlight w:val="none"/>
        </w:rPr>
      </w:pPr>
    </w:p>
    <w:p w14:paraId="641C6AE8">
      <w:pPr>
        <w:spacing w:line="36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单位名称（盖章）：</w:t>
      </w:r>
      <w:r>
        <w:rPr>
          <w:rFonts w:hint="eastAsia" w:ascii="仿宋" w:hAnsi="仿宋" w:eastAsia="仿宋" w:cs="仿宋"/>
          <w:sz w:val="24"/>
          <w:highlight w:val="none"/>
          <w:u w:val="single"/>
        </w:rPr>
        <w:t xml:space="preserve">                          </w:t>
      </w:r>
    </w:p>
    <w:p w14:paraId="41F01562">
      <w:pPr>
        <w:spacing w:line="360" w:lineRule="auto"/>
        <w:ind w:firstLine="480" w:firstLineChars="200"/>
        <w:rPr>
          <w:rFonts w:hint="eastAsia" w:ascii="仿宋" w:hAnsi="仿宋" w:eastAsia="仿宋" w:cs="仿宋"/>
          <w:sz w:val="24"/>
          <w:highlight w:val="none"/>
        </w:rPr>
      </w:pPr>
    </w:p>
    <w:p w14:paraId="00238598">
      <w:pPr>
        <w:spacing w:line="360" w:lineRule="auto"/>
        <w:ind w:firstLine="480" w:firstLineChars="200"/>
        <w:rPr>
          <w:rFonts w:hint="eastAsia" w:ascii="仿宋" w:hAnsi="仿宋" w:eastAsia="仿宋" w:cs="仿宋"/>
          <w:sz w:val="24"/>
          <w:highlight w:val="none"/>
        </w:rPr>
      </w:pPr>
    </w:p>
    <w:p w14:paraId="13F6664B">
      <w:pPr>
        <w:spacing w:line="360" w:lineRule="auto"/>
        <w:ind w:firstLine="480" w:firstLineChars="200"/>
        <w:rPr>
          <w:rFonts w:hint="eastAsia" w:ascii="仿宋" w:hAnsi="仿宋" w:eastAsia="仿宋" w:cs="仿宋"/>
          <w:sz w:val="24"/>
          <w:highlight w:val="none"/>
        </w:rPr>
      </w:pPr>
    </w:p>
    <w:p w14:paraId="1F929F9C">
      <w:pPr>
        <w:spacing w:line="36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日  期：</w:t>
      </w:r>
      <w:r>
        <w:rPr>
          <w:rFonts w:hint="eastAsia" w:ascii="仿宋" w:hAnsi="仿宋" w:eastAsia="仿宋" w:cs="仿宋"/>
          <w:sz w:val="24"/>
          <w:highlight w:val="none"/>
          <w:u w:val="single"/>
        </w:rPr>
        <w:t xml:space="preserve">                        </w:t>
      </w:r>
    </w:p>
    <w:p w14:paraId="2D59DE17">
      <w:pPr>
        <w:rPr>
          <w:rFonts w:hint="eastAsia" w:ascii="仿宋" w:hAnsi="仿宋" w:eastAsia="仿宋" w:cs="仿宋"/>
          <w:sz w:val="24"/>
          <w:highlight w:val="none"/>
          <w:u w:val="single"/>
        </w:rPr>
      </w:pPr>
      <w:r>
        <w:rPr>
          <w:rFonts w:hint="eastAsia" w:ascii="仿宋" w:hAnsi="仿宋" w:eastAsia="仿宋" w:cs="仿宋"/>
          <w:sz w:val="24"/>
          <w:highlight w:val="none"/>
          <w:u w:val="single"/>
        </w:rPr>
        <w:br w:type="page"/>
      </w:r>
    </w:p>
    <w:p w14:paraId="0F499E45">
      <w:pPr>
        <w:pStyle w:val="4"/>
        <w:jc w:val="center"/>
        <w:rPr>
          <w:rFonts w:hint="eastAsia" w:ascii="仿宋" w:hAnsi="仿宋" w:eastAsia="仿宋" w:cs="仿宋"/>
          <w:highlight w:val="none"/>
        </w:rPr>
      </w:pPr>
      <w:bookmarkStart w:id="251" w:name="_Toc26090"/>
      <w:bookmarkStart w:id="252" w:name="_Toc10866"/>
      <w:bookmarkStart w:id="253" w:name="_Toc30461"/>
      <w:bookmarkStart w:id="254" w:name="_Toc18378"/>
      <w:bookmarkStart w:id="255" w:name="_Toc26529"/>
      <w:bookmarkStart w:id="256" w:name="_Toc11073"/>
      <w:r>
        <w:rPr>
          <w:rFonts w:hint="eastAsia" w:ascii="仿宋" w:hAnsi="仿宋" w:eastAsia="仿宋" w:cs="仿宋"/>
          <w:sz w:val="28"/>
          <w:szCs w:val="28"/>
          <w:highlight w:val="none"/>
        </w:rPr>
        <w:t>10</w:t>
      </w:r>
      <w:bookmarkEnd w:id="251"/>
      <w:bookmarkEnd w:id="252"/>
      <w:bookmarkEnd w:id="253"/>
      <w:bookmarkStart w:id="257" w:name="_Toc3946"/>
      <w:r>
        <w:rPr>
          <w:rFonts w:hint="eastAsia" w:ascii="仿宋" w:hAnsi="仿宋" w:eastAsia="仿宋" w:cs="仿宋"/>
          <w:sz w:val="28"/>
          <w:szCs w:val="28"/>
          <w:highlight w:val="none"/>
        </w:rPr>
        <w:t>-1、属于《节能产品政府采购品目清单》、《环境标志产品政府采购品目清单》中的产品，提供认证证书复印件或中国政府采购网网页截图</w:t>
      </w:r>
      <w:bookmarkEnd w:id="254"/>
      <w:bookmarkEnd w:id="255"/>
      <w:bookmarkEnd w:id="256"/>
      <w:bookmarkEnd w:id="257"/>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1330"/>
        <w:gridCol w:w="1681"/>
        <w:gridCol w:w="1796"/>
        <w:gridCol w:w="2923"/>
      </w:tblGrid>
      <w:tr w14:paraId="117B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464" w:type="pct"/>
            <w:vAlign w:val="center"/>
          </w:tcPr>
          <w:p w14:paraId="67D7D91D">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序号</w:t>
            </w:r>
          </w:p>
        </w:tc>
        <w:tc>
          <w:tcPr>
            <w:tcW w:w="2820" w:type="pct"/>
            <w:gridSpan w:val="3"/>
            <w:vAlign w:val="center"/>
          </w:tcPr>
          <w:p w14:paraId="681D2DE8">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名称</w:t>
            </w:r>
          </w:p>
        </w:tc>
        <w:tc>
          <w:tcPr>
            <w:tcW w:w="1714" w:type="pct"/>
            <w:vAlign w:val="center"/>
          </w:tcPr>
          <w:p w14:paraId="36D00C5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依据的标准</w:t>
            </w:r>
          </w:p>
        </w:tc>
      </w:tr>
      <w:tr w14:paraId="3C62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64" w:type="pct"/>
            <w:vMerge w:val="restart"/>
            <w:vAlign w:val="center"/>
          </w:tcPr>
          <w:p w14:paraId="7C08D80A">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1</w:t>
            </w:r>
          </w:p>
        </w:tc>
        <w:tc>
          <w:tcPr>
            <w:tcW w:w="780" w:type="pct"/>
            <w:vMerge w:val="restart"/>
            <w:vAlign w:val="center"/>
          </w:tcPr>
          <w:p w14:paraId="0DD2346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A020101计算机设备</w:t>
            </w:r>
          </w:p>
        </w:tc>
        <w:tc>
          <w:tcPr>
            <w:tcW w:w="986" w:type="pct"/>
            <w:vMerge w:val="restart"/>
            <w:vAlign w:val="center"/>
          </w:tcPr>
          <w:p w14:paraId="221D812F">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★A02010104 台式计算机</w:t>
            </w:r>
          </w:p>
        </w:tc>
        <w:tc>
          <w:tcPr>
            <w:tcW w:w="1054" w:type="pct"/>
            <w:vMerge w:val="restart"/>
            <w:vAlign w:val="center"/>
          </w:tcPr>
          <w:p w14:paraId="3092D719">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Merge w:val="restart"/>
            <w:vAlign w:val="center"/>
          </w:tcPr>
          <w:p w14:paraId="00926365">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《微型计算机能效限定值及能效 等级》(GB28380)</w:t>
            </w:r>
          </w:p>
        </w:tc>
      </w:tr>
      <w:tr w14:paraId="1ABE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64" w:type="pct"/>
            <w:vMerge w:val="continue"/>
            <w:vAlign w:val="center"/>
          </w:tcPr>
          <w:p w14:paraId="74952D36">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201110B2">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Merge w:val="continue"/>
            <w:vAlign w:val="center"/>
          </w:tcPr>
          <w:p w14:paraId="4DF31C9C">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Merge w:val="continue"/>
            <w:vAlign w:val="center"/>
          </w:tcPr>
          <w:p w14:paraId="1B0C12B3">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Merge w:val="continue"/>
            <w:vAlign w:val="center"/>
          </w:tcPr>
          <w:p w14:paraId="2B08F941">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r>
      <w:tr w14:paraId="6C4C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64" w:type="pct"/>
            <w:vMerge w:val="continue"/>
            <w:vAlign w:val="center"/>
          </w:tcPr>
          <w:p w14:paraId="0E767B43">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4DA25855">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Merge w:val="restart"/>
            <w:vAlign w:val="center"/>
          </w:tcPr>
          <w:p w14:paraId="04C0A4FA">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★A02010105 便携式计算机</w:t>
            </w:r>
          </w:p>
        </w:tc>
        <w:tc>
          <w:tcPr>
            <w:tcW w:w="1054" w:type="pct"/>
            <w:vMerge w:val="restart"/>
            <w:vAlign w:val="center"/>
          </w:tcPr>
          <w:p w14:paraId="73F006A6">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Merge w:val="restart"/>
            <w:vAlign w:val="center"/>
          </w:tcPr>
          <w:p w14:paraId="4EBEFE0E">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《微型计算机能效限定值及能效 等级》(GB28380)</w:t>
            </w:r>
          </w:p>
        </w:tc>
      </w:tr>
      <w:tr w14:paraId="0B46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64" w:type="pct"/>
            <w:vMerge w:val="continue"/>
            <w:vAlign w:val="center"/>
          </w:tcPr>
          <w:p w14:paraId="20053AA9">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063DB96E">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Merge w:val="continue"/>
            <w:vAlign w:val="center"/>
          </w:tcPr>
          <w:p w14:paraId="5E07FBFF">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Merge w:val="continue"/>
            <w:vAlign w:val="center"/>
          </w:tcPr>
          <w:p w14:paraId="314067A4">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Merge w:val="continue"/>
            <w:vAlign w:val="center"/>
          </w:tcPr>
          <w:p w14:paraId="056C4A19">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r>
      <w:tr w14:paraId="736E0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64" w:type="pct"/>
            <w:vMerge w:val="continue"/>
            <w:vAlign w:val="center"/>
          </w:tcPr>
          <w:p w14:paraId="010C419E">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424DE4D5">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Merge w:val="restart"/>
            <w:vAlign w:val="center"/>
          </w:tcPr>
          <w:p w14:paraId="0EC883B1">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★A02010107 平板式微型计算机</w:t>
            </w:r>
          </w:p>
        </w:tc>
        <w:tc>
          <w:tcPr>
            <w:tcW w:w="1054" w:type="pct"/>
            <w:vMerge w:val="restart"/>
            <w:vAlign w:val="center"/>
          </w:tcPr>
          <w:p w14:paraId="1515B6B8">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Merge w:val="restart"/>
            <w:vAlign w:val="center"/>
          </w:tcPr>
          <w:p w14:paraId="1CD7AF3C">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《微型计算机能效限定值及能效 等级》(GB28380)</w:t>
            </w:r>
          </w:p>
        </w:tc>
      </w:tr>
      <w:tr w14:paraId="5798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64" w:type="pct"/>
            <w:vMerge w:val="continue"/>
            <w:vAlign w:val="center"/>
          </w:tcPr>
          <w:p w14:paraId="21F8E558">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06F829B1">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Merge w:val="continue"/>
            <w:vAlign w:val="center"/>
          </w:tcPr>
          <w:p w14:paraId="1C7DD30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Merge w:val="continue"/>
            <w:vAlign w:val="center"/>
          </w:tcPr>
          <w:p w14:paraId="7801B790">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Merge w:val="continue"/>
            <w:vAlign w:val="center"/>
          </w:tcPr>
          <w:p w14:paraId="598A592A">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r>
      <w:tr w14:paraId="3388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64" w:type="pct"/>
            <w:vMerge w:val="restart"/>
            <w:vAlign w:val="center"/>
          </w:tcPr>
          <w:p w14:paraId="174EA899">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2</w:t>
            </w:r>
          </w:p>
        </w:tc>
        <w:tc>
          <w:tcPr>
            <w:tcW w:w="780" w:type="pct"/>
            <w:vMerge w:val="restart"/>
            <w:vAlign w:val="center"/>
          </w:tcPr>
          <w:p w14:paraId="5BB73654">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A020106输入输出设备</w:t>
            </w:r>
          </w:p>
        </w:tc>
        <w:tc>
          <w:tcPr>
            <w:tcW w:w="986" w:type="pct"/>
            <w:vMerge w:val="restart"/>
            <w:vAlign w:val="center"/>
          </w:tcPr>
          <w:p w14:paraId="3B8BE1FF">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A02010601打印设备</w:t>
            </w:r>
          </w:p>
        </w:tc>
        <w:tc>
          <w:tcPr>
            <w:tcW w:w="1054" w:type="pct"/>
            <w:vAlign w:val="center"/>
          </w:tcPr>
          <w:p w14:paraId="684B488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A0201060101喷墨打印机</w:t>
            </w:r>
          </w:p>
        </w:tc>
        <w:tc>
          <w:tcPr>
            <w:tcW w:w="1714" w:type="pct"/>
            <w:vAlign w:val="center"/>
          </w:tcPr>
          <w:p w14:paraId="595A843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《复印机、打印机和传真机能效限 定值及能效等级》(GB21521)</w:t>
            </w:r>
          </w:p>
        </w:tc>
      </w:tr>
      <w:tr w14:paraId="43E3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64" w:type="pct"/>
            <w:vMerge w:val="continue"/>
            <w:vAlign w:val="center"/>
          </w:tcPr>
          <w:p w14:paraId="11AC7017">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56B4494B">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Merge w:val="continue"/>
            <w:vAlign w:val="center"/>
          </w:tcPr>
          <w:p w14:paraId="580821C9">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Align w:val="center"/>
          </w:tcPr>
          <w:p w14:paraId="384E3349">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★A0201060102激光打印机</w:t>
            </w:r>
          </w:p>
        </w:tc>
        <w:tc>
          <w:tcPr>
            <w:tcW w:w="1714" w:type="pct"/>
            <w:vAlign w:val="center"/>
          </w:tcPr>
          <w:p w14:paraId="0BAD53B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《复印机、打印机和传真机能效限 定值及能效等级》(GB21521)</w:t>
            </w:r>
          </w:p>
        </w:tc>
      </w:tr>
      <w:tr w14:paraId="14B8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64" w:type="pct"/>
            <w:vMerge w:val="continue"/>
            <w:vAlign w:val="center"/>
          </w:tcPr>
          <w:p w14:paraId="0DFF784F">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487AEDB0">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Merge w:val="continue"/>
            <w:vAlign w:val="center"/>
          </w:tcPr>
          <w:p w14:paraId="6F654D2F">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Align w:val="center"/>
          </w:tcPr>
          <w:p w14:paraId="100C4E44">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★A0201060104针式打印机</w:t>
            </w:r>
          </w:p>
        </w:tc>
        <w:tc>
          <w:tcPr>
            <w:tcW w:w="1714" w:type="pct"/>
            <w:vAlign w:val="center"/>
          </w:tcPr>
          <w:p w14:paraId="5CB224D0">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《复印机、打印机和传真机能效限 定值及能效等级》(GB21521)</w:t>
            </w:r>
          </w:p>
        </w:tc>
      </w:tr>
      <w:tr w14:paraId="0A77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64" w:type="pct"/>
            <w:vMerge w:val="continue"/>
            <w:vAlign w:val="center"/>
          </w:tcPr>
          <w:p w14:paraId="273C84C9">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735D675E">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Align w:val="center"/>
          </w:tcPr>
          <w:p w14:paraId="1207A0C2">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A02010604 显示设备</w:t>
            </w:r>
          </w:p>
        </w:tc>
        <w:tc>
          <w:tcPr>
            <w:tcW w:w="1054" w:type="pct"/>
            <w:vAlign w:val="center"/>
          </w:tcPr>
          <w:p w14:paraId="27F8591A">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★A0201060401液晶显示器</w:t>
            </w:r>
          </w:p>
        </w:tc>
        <w:tc>
          <w:tcPr>
            <w:tcW w:w="1714" w:type="pct"/>
            <w:vAlign w:val="center"/>
          </w:tcPr>
          <w:p w14:paraId="54298E34">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《计算机显示器能效限定值及能 效等级》(GB21520)</w:t>
            </w:r>
          </w:p>
        </w:tc>
      </w:tr>
      <w:tr w14:paraId="57C5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464" w:type="pct"/>
            <w:vMerge w:val="continue"/>
            <w:vAlign w:val="center"/>
          </w:tcPr>
          <w:p w14:paraId="0CBE6614">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69B9691A">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Align w:val="center"/>
          </w:tcPr>
          <w:p w14:paraId="026E5EEE">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A02010609图形图像输入设备</w:t>
            </w:r>
          </w:p>
        </w:tc>
        <w:tc>
          <w:tcPr>
            <w:tcW w:w="1054" w:type="pct"/>
            <w:vAlign w:val="center"/>
          </w:tcPr>
          <w:p w14:paraId="41386286">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A0201060901扫描仪</w:t>
            </w:r>
          </w:p>
        </w:tc>
        <w:tc>
          <w:tcPr>
            <w:tcW w:w="1714" w:type="pct"/>
            <w:vAlign w:val="center"/>
          </w:tcPr>
          <w:p w14:paraId="0ECBB40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参照《复印机、打印机和传真机能 效限定值及能效等级》(GB21521) 中打印速度为15页/分的针式打印机相关要求</w:t>
            </w:r>
          </w:p>
        </w:tc>
      </w:tr>
      <w:tr w14:paraId="20FE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64" w:type="pct"/>
            <w:vAlign w:val="center"/>
          </w:tcPr>
          <w:p w14:paraId="66E2AF48">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3</w:t>
            </w:r>
          </w:p>
        </w:tc>
        <w:tc>
          <w:tcPr>
            <w:tcW w:w="780" w:type="pct"/>
            <w:vAlign w:val="center"/>
          </w:tcPr>
          <w:p w14:paraId="4DDEC8D2">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A020202投影仪</w:t>
            </w:r>
          </w:p>
        </w:tc>
        <w:tc>
          <w:tcPr>
            <w:tcW w:w="986" w:type="pct"/>
            <w:vAlign w:val="center"/>
          </w:tcPr>
          <w:p w14:paraId="62DBE51F">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Align w:val="center"/>
          </w:tcPr>
          <w:p w14:paraId="57ADDE64">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2980BD76">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《投影机能效限定值及能效等级》 (GB32028)</w:t>
            </w:r>
          </w:p>
        </w:tc>
      </w:tr>
      <w:tr w14:paraId="4F45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64" w:type="pct"/>
            <w:vAlign w:val="center"/>
          </w:tcPr>
          <w:p w14:paraId="498FF5C8">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4</w:t>
            </w:r>
          </w:p>
        </w:tc>
        <w:tc>
          <w:tcPr>
            <w:tcW w:w="780" w:type="pct"/>
            <w:vAlign w:val="center"/>
          </w:tcPr>
          <w:p w14:paraId="0995EBA2">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A020204多功能一体机</w:t>
            </w:r>
          </w:p>
        </w:tc>
        <w:tc>
          <w:tcPr>
            <w:tcW w:w="986" w:type="pct"/>
            <w:vAlign w:val="center"/>
          </w:tcPr>
          <w:p w14:paraId="0FA7E83C">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Align w:val="center"/>
          </w:tcPr>
          <w:p w14:paraId="60CC8E95">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06DD3AC4">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《复印机、打印机和传真机能效限 定值及能效等级》(GB21521)</w:t>
            </w:r>
          </w:p>
        </w:tc>
      </w:tr>
      <w:tr w14:paraId="69D5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64" w:type="pct"/>
            <w:vAlign w:val="center"/>
          </w:tcPr>
          <w:p w14:paraId="0CAB4692">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5</w:t>
            </w:r>
          </w:p>
        </w:tc>
        <w:tc>
          <w:tcPr>
            <w:tcW w:w="780" w:type="pct"/>
            <w:vAlign w:val="center"/>
          </w:tcPr>
          <w:p w14:paraId="429CB06B">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A020519泵</w:t>
            </w:r>
          </w:p>
        </w:tc>
        <w:tc>
          <w:tcPr>
            <w:tcW w:w="986" w:type="pct"/>
            <w:vAlign w:val="center"/>
          </w:tcPr>
          <w:p w14:paraId="59E7EBB2">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A02051901离心泵</w:t>
            </w:r>
          </w:p>
        </w:tc>
        <w:tc>
          <w:tcPr>
            <w:tcW w:w="1054" w:type="pct"/>
            <w:vAlign w:val="center"/>
          </w:tcPr>
          <w:p w14:paraId="21C17462">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464E12E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《清水离心泵能效限定值及节能 评价值》(GB19762)</w:t>
            </w:r>
          </w:p>
        </w:tc>
      </w:tr>
      <w:tr w14:paraId="01E4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464" w:type="pct"/>
            <w:vMerge w:val="restart"/>
            <w:vAlign w:val="center"/>
          </w:tcPr>
          <w:p w14:paraId="580B80AB">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6</w:t>
            </w:r>
          </w:p>
        </w:tc>
        <w:tc>
          <w:tcPr>
            <w:tcW w:w="780" w:type="pct"/>
            <w:vMerge w:val="restart"/>
            <w:vAlign w:val="center"/>
          </w:tcPr>
          <w:p w14:paraId="4ACFE379">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A020523制冷空调设备</w:t>
            </w:r>
          </w:p>
        </w:tc>
        <w:tc>
          <w:tcPr>
            <w:tcW w:w="986" w:type="pct"/>
            <w:vMerge w:val="restart"/>
            <w:vAlign w:val="center"/>
          </w:tcPr>
          <w:p w14:paraId="25865CD3">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★A02052301制冷压缩机</w:t>
            </w:r>
          </w:p>
        </w:tc>
        <w:tc>
          <w:tcPr>
            <w:tcW w:w="1054" w:type="pct"/>
            <w:vAlign w:val="center"/>
          </w:tcPr>
          <w:p w14:paraId="4F955A42">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冷水机组</w:t>
            </w:r>
          </w:p>
        </w:tc>
        <w:tc>
          <w:tcPr>
            <w:tcW w:w="1714" w:type="pct"/>
            <w:vAlign w:val="center"/>
          </w:tcPr>
          <w:p w14:paraId="23CD7ACF">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《冷水机组能效限定值及能效等 级》(GB19577)，《低环境温度空气源热泵(冷水)机组能效限定值及能效等级》(GB37480)</w:t>
            </w:r>
          </w:p>
        </w:tc>
      </w:tr>
      <w:tr w14:paraId="52D4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64" w:type="pct"/>
            <w:vMerge w:val="continue"/>
            <w:vAlign w:val="center"/>
          </w:tcPr>
          <w:p w14:paraId="0A4AF05A">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03FDA431">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Merge w:val="continue"/>
            <w:vAlign w:val="center"/>
          </w:tcPr>
          <w:p w14:paraId="5464AC62">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Align w:val="center"/>
          </w:tcPr>
          <w:p w14:paraId="5A7E0133">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水源热泵机组</w:t>
            </w:r>
          </w:p>
        </w:tc>
        <w:tc>
          <w:tcPr>
            <w:tcW w:w="1714" w:type="pct"/>
            <w:vAlign w:val="center"/>
          </w:tcPr>
          <w:p w14:paraId="680555EE">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《水(地)源热泵机组能效限定值 及能效等级》(GB30721)</w:t>
            </w:r>
          </w:p>
        </w:tc>
      </w:tr>
      <w:tr w14:paraId="2C51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64" w:type="pct"/>
            <w:vMerge w:val="continue"/>
            <w:vAlign w:val="center"/>
          </w:tcPr>
          <w:p w14:paraId="6A7162CA">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4EC617F0">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Merge w:val="continue"/>
            <w:vAlign w:val="center"/>
          </w:tcPr>
          <w:p w14:paraId="037EA27A">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Align w:val="center"/>
          </w:tcPr>
          <w:p w14:paraId="6B09DCF3">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溴化锂吸收式冷水机组</w:t>
            </w:r>
          </w:p>
        </w:tc>
        <w:tc>
          <w:tcPr>
            <w:tcW w:w="1714" w:type="pct"/>
            <w:vAlign w:val="center"/>
          </w:tcPr>
          <w:p w14:paraId="47EF65C4">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《溴化锂吸收式冷水机组能效限 定值及能效等级》(GB29540)</w:t>
            </w:r>
          </w:p>
        </w:tc>
      </w:tr>
      <w:tr w14:paraId="3FF4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464" w:type="pct"/>
            <w:vMerge w:val="continue"/>
            <w:vAlign w:val="center"/>
          </w:tcPr>
          <w:p w14:paraId="2131DF27">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restart"/>
            <w:vAlign w:val="center"/>
          </w:tcPr>
          <w:p w14:paraId="0F3F72FE">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★A02052305 空调机组</w:t>
            </w:r>
          </w:p>
        </w:tc>
        <w:tc>
          <w:tcPr>
            <w:tcW w:w="986" w:type="pct"/>
            <w:vAlign w:val="center"/>
          </w:tcPr>
          <w:p w14:paraId="54EC10DB">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多联式空调(热泵)机组(制冷量&gt;14000W)</w:t>
            </w:r>
          </w:p>
        </w:tc>
        <w:tc>
          <w:tcPr>
            <w:tcW w:w="1054" w:type="pct"/>
            <w:vAlign w:val="center"/>
          </w:tcPr>
          <w:p w14:paraId="4DB0669E">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《多联式空调 (热泵) 机组能效限 定值及能源效率等级》(GB 21454)</w:t>
            </w:r>
          </w:p>
        </w:tc>
        <w:tc>
          <w:tcPr>
            <w:tcW w:w="1714" w:type="pct"/>
            <w:vMerge w:val="restart"/>
            <w:vAlign w:val="center"/>
          </w:tcPr>
          <w:p w14:paraId="0C9E2436">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★A02052305空调机组</w:t>
            </w:r>
          </w:p>
        </w:tc>
      </w:tr>
      <w:tr w14:paraId="7800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9" w:hRule="atLeast"/>
          <w:jc w:val="center"/>
        </w:trPr>
        <w:tc>
          <w:tcPr>
            <w:tcW w:w="464" w:type="pct"/>
            <w:vMerge w:val="continue"/>
            <w:vAlign w:val="center"/>
          </w:tcPr>
          <w:p w14:paraId="5F909BE4">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1A91CFC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Align w:val="center"/>
          </w:tcPr>
          <w:p w14:paraId="5C913405">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单元式空气调节机(制冷量&gt;14000W)</w:t>
            </w:r>
          </w:p>
        </w:tc>
        <w:tc>
          <w:tcPr>
            <w:tcW w:w="1054" w:type="pct"/>
            <w:vAlign w:val="center"/>
          </w:tcPr>
          <w:p w14:paraId="5E50B31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《单元式空气调节机能效限定值 及能效等级》(GB 19576)  《风管 送风式空调机组能效限定值及能 效等级》(GB 37479)</w:t>
            </w:r>
          </w:p>
        </w:tc>
        <w:tc>
          <w:tcPr>
            <w:tcW w:w="1714" w:type="pct"/>
            <w:vMerge w:val="continue"/>
            <w:vAlign w:val="center"/>
          </w:tcPr>
          <w:p w14:paraId="197BEB24">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r>
      <w:tr w14:paraId="5E6B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464" w:type="pct"/>
            <w:vMerge w:val="continue"/>
            <w:vAlign w:val="center"/>
          </w:tcPr>
          <w:p w14:paraId="6997D55C">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Align w:val="center"/>
          </w:tcPr>
          <w:p w14:paraId="71F95A4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★A02052309 专用制冷、空调设备</w:t>
            </w:r>
          </w:p>
        </w:tc>
        <w:tc>
          <w:tcPr>
            <w:tcW w:w="986" w:type="pct"/>
            <w:vAlign w:val="center"/>
          </w:tcPr>
          <w:p w14:paraId="0C82272E">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机房空调</w:t>
            </w:r>
          </w:p>
        </w:tc>
        <w:tc>
          <w:tcPr>
            <w:tcW w:w="1054" w:type="pct"/>
            <w:vAlign w:val="center"/>
          </w:tcPr>
          <w:p w14:paraId="12D70431">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《单元式空气调节机能效限定值 及能效等级》(GB 19576)</w:t>
            </w:r>
          </w:p>
        </w:tc>
        <w:tc>
          <w:tcPr>
            <w:tcW w:w="1714" w:type="pct"/>
            <w:vAlign w:val="center"/>
          </w:tcPr>
          <w:p w14:paraId="61A7B0C1">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★A02052309专用制冷、空调设备</w:t>
            </w:r>
          </w:p>
        </w:tc>
      </w:tr>
      <w:tr w14:paraId="3C11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9" w:hRule="atLeast"/>
          <w:jc w:val="center"/>
        </w:trPr>
        <w:tc>
          <w:tcPr>
            <w:tcW w:w="464" w:type="pct"/>
            <w:vMerge w:val="continue"/>
            <w:vAlign w:val="center"/>
          </w:tcPr>
          <w:p w14:paraId="6447E386">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Align w:val="center"/>
          </w:tcPr>
          <w:p w14:paraId="7AF0719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A02052399 其他制冷空调设备</w:t>
            </w:r>
          </w:p>
        </w:tc>
        <w:tc>
          <w:tcPr>
            <w:tcW w:w="986" w:type="pct"/>
            <w:vAlign w:val="center"/>
          </w:tcPr>
          <w:p w14:paraId="21FBD5D1">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冷却塔</w:t>
            </w:r>
          </w:p>
        </w:tc>
        <w:tc>
          <w:tcPr>
            <w:tcW w:w="1054" w:type="pct"/>
            <w:vAlign w:val="center"/>
          </w:tcPr>
          <w:p w14:paraId="5A679AF5">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《机械通风冷却塔 第1部分：中小型开式冷却塔》(GB/T7190.1)；《机械通风冷却塔第2部分：大型开式冷却塔》(GB /T7190.2)</w:t>
            </w:r>
          </w:p>
        </w:tc>
        <w:tc>
          <w:tcPr>
            <w:tcW w:w="1714" w:type="pct"/>
            <w:vAlign w:val="center"/>
          </w:tcPr>
          <w:p w14:paraId="47E9120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A02052399其他制冷空调设备</w:t>
            </w:r>
          </w:p>
        </w:tc>
      </w:tr>
      <w:tr w14:paraId="0F28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64" w:type="pct"/>
            <w:vAlign w:val="center"/>
          </w:tcPr>
          <w:p w14:paraId="05886AD2">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7</w:t>
            </w:r>
          </w:p>
        </w:tc>
        <w:tc>
          <w:tcPr>
            <w:tcW w:w="780" w:type="pct"/>
            <w:vAlign w:val="center"/>
          </w:tcPr>
          <w:p w14:paraId="48AD0868">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A020601电机</w:t>
            </w:r>
          </w:p>
        </w:tc>
        <w:tc>
          <w:tcPr>
            <w:tcW w:w="986" w:type="pct"/>
            <w:vAlign w:val="center"/>
          </w:tcPr>
          <w:p w14:paraId="1C122EAE">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Align w:val="center"/>
          </w:tcPr>
          <w:p w14:paraId="165C8933">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7618768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《中小型三相异步电动机能效限定值及能效等级》(GB18613)</w:t>
            </w:r>
          </w:p>
        </w:tc>
      </w:tr>
      <w:tr w14:paraId="3232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64" w:type="pct"/>
            <w:vAlign w:val="center"/>
          </w:tcPr>
          <w:p w14:paraId="72F93FB1">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8</w:t>
            </w:r>
          </w:p>
        </w:tc>
        <w:tc>
          <w:tcPr>
            <w:tcW w:w="780" w:type="pct"/>
            <w:vAlign w:val="center"/>
          </w:tcPr>
          <w:p w14:paraId="7A4312E3">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A020602变压器</w:t>
            </w:r>
          </w:p>
        </w:tc>
        <w:tc>
          <w:tcPr>
            <w:tcW w:w="986" w:type="pct"/>
            <w:vAlign w:val="center"/>
          </w:tcPr>
          <w:p w14:paraId="0023338F">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配电变压器</w:t>
            </w:r>
          </w:p>
        </w:tc>
        <w:tc>
          <w:tcPr>
            <w:tcW w:w="1054" w:type="pct"/>
            <w:vAlign w:val="center"/>
          </w:tcPr>
          <w:p w14:paraId="2B16C7D1">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2234CF2A">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《三相配电变压器能效限定值及能效等级》(GB20052)</w:t>
            </w:r>
          </w:p>
        </w:tc>
      </w:tr>
      <w:tr w14:paraId="183C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64" w:type="pct"/>
            <w:vAlign w:val="center"/>
          </w:tcPr>
          <w:p w14:paraId="60858E75">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9</w:t>
            </w:r>
          </w:p>
        </w:tc>
        <w:tc>
          <w:tcPr>
            <w:tcW w:w="780" w:type="pct"/>
            <w:vAlign w:val="center"/>
          </w:tcPr>
          <w:p w14:paraId="0AFF33BA">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★A020609 镇流器</w:t>
            </w:r>
          </w:p>
        </w:tc>
        <w:tc>
          <w:tcPr>
            <w:tcW w:w="986" w:type="pct"/>
            <w:vAlign w:val="center"/>
          </w:tcPr>
          <w:p w14:paraId="19478F25">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管型荧光灯镇流器</w:t>
            </w:r>
          </w:p>
        </w:tc>
        <w:tc>
          <w:tcPr>
            <w:tcW w:w="1054" w:type="pct"/>
            <w:vAlign w:val="center"/>
          </w:tcPr>
          <w:p w14:paraId="059124B2">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03B1E96E">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《管形荧光灯镇流器能效限定值 及能效等级》(GB17896)</w:t>
            </w:r>
          </w:p>
        </w:tc>
      </w:tr>
      <w:tr w14:paraId="1F3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464" w:type="pct"/>
            <w:vMerge w:val="restart"/>
            <w:vAlign w:val="center"/>
          </w:tcPr>
          <w:p w14:paraId="5FC228B9">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10</w:t>
            </w:r>
          </w:p>
        </w:tc>
        <w:tc>
          <w:tcPr>
            <w:tcW w:w="780" w:type="pct"/>
            <w:vMerge w:val="restart"/>
            <w:vAlign w:val="center"/>
          </w:tcPr>
          <w:p w14:paraId="7BDEADA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A0206180101电冰箱★A0206180203空调机</w:t>
            </w:r>
          </w:p>
        </w:tc>
        <w:tc>
          <w:tcPr>
            <w:tcW w:w="986" w:type="pct"/>
            <w:vAlign w:val="center"/>
          </w:tcPr>
          <w:p w14:paraId="1050243A">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A0206180101电冰箱</w:t>
            </w:r>
          </w:p>
        </w:tc>
        <w:tc>
          <w:tcPr>
            <w:tcW w:w="1054" w:type="pct"/>
            <w:vAlign w:val="center"/>
          </w:tcPr>
          <w:p w14:paraId="0F7595A8">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6FE9628C">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《家用电冰箱耗电量限定值及能效等级》(G12021.2)(GB21455-2019) 实施</w:t>
            </w:r>
          </w:p>
        </w:tc>
      </w:tr>
      <w:tr w14:paraId="2D5A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0" w:hRule="atLeast"/>
          <w:jc w:val="center"/>
        </w:trPr>
        <w:tc>
          <w:tcPr>
            <w:tcW w:w="464" w:type="pct"/>
            <w:vMerge w:val="continue"/>
            <w:vAlign w:val="center"/>
          </w:tcPr>
          <w:p w14:paraId="2E560935">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28EF23AB">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Merge w:val="restart"/>
            <w:vAlign w:val="center"/>
          </w:tcPr>
          <w:p w14:paraId="1AE9975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★A0206180203 空调机</w:t>
            </w:r>
          </w:p>
        </w:tc>
        <w:tc>
          <w:tcPr>
            <w:tcW w:w="1054" w:type="pct"/>
            <w:vAlign w:val="center"/>
          </w:tcPr>
          <w:p w14:paraId="36401196">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房间空气调节器</w:t>
            </w:r>
          </w:p>
        </w:tc>
        <w:tc>
          <w:tcPr>
            <w:tcW w:w="1714" w:type="pct"/>
            <w:vAlign w:val="center"/>
          </w:tcPr>
          <w:p w14:paraId="2E449789">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《转速可控型房间空气调节器能 效限定值及能效等级》( GB21455-2013) ，待2019年修订发布后，按《房间空气调节器能效限定值及能效等级》(GB21455-2019)实施。</w:t>
            </w:r>
          </w:p>
        </w:tc>
      </w:tr>
      <w:tr w14:paraId="70EE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464" w:type="pct"/>
            <w:vMerge w:val="continue"/>
            <w:vAlign w:val="center"/>
          </w:tcPr>
          <w:p w14:paraId="2EBD187D">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08ABC9E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Merge w:val="continue"/>
            <w:vAlign w:val="center"/>
          </w:tcPr>
          <w:p w14:paraId="1E3DAB5A">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Align w:val="center"/>
          </w:tcPr>
          <w:p w14:paraId="50E641C5">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多联式空(热泵)机组(制冷量≤14000W)</w:t>
            </w:r>
          </w:p>
        </w:tc>
        <w:tc>
          <w:tcPr>
            <w:tcW w:w="1714" w:type="pct"/>
            <w:vAlign w:val="center"/>
          </w:tcPr>
          <w:p w14:paraId="5FE8287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《多联式空调(热泵)机组能效限定值及能源效率等级》(GB 21454)</w:t>
            </w:r>
          </w:p>
        </w:tc>
      </w:tr>
      <w:tr w14:paraId="66AD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464" w:type="pct"/>
            <w:vMerge w:val="continue"/>
            <w:vAlign w:val="center"/>
          </w:tcPr>
          <w:p w14:paraId="0C70E936">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2BE61329">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Merge w:val="continue"/>
            <w:vAlign w:val="center"/>
          </w:tcPr>
          <w:p w14:paraId="1117669E">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Align w:val="center"/>
          </w:tcPr>
          <w:p w14:paraId="2B585C7A">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单元式空气调节机(制冷量≤14000W)</w:t>
            </w:r>
          </w:p>
        </w:tc>
        <w:tc>
          <w:tcPr>
            <w:tcW w:w="1714" w:type="pct"/>
            <w:vAlign w:val="center"/>
          </w:tcPr>
          <w:p w14:paraId="372D1420">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《单元式空气调节机能效限定值 及能源效率等级》(GB19576)《风 管送风式空调机组能效限定值及 能效等级》(GB37479)</w:t>
            </w:r>
          </w:p>
        </w:tc>
      </w:tr>
      <w:tr w14:paraId="46D1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64" w:type="pct"/>
            <w:vMerge w:val="continue"/>
            <w:vAlign w:val="center"/>
          </w:tcPr>
          <w:p w14:paraId="6A2B5400">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17A121F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Align w:val="center"/>
          </w:tcPr>
          <w:p w14:paraId="0684ABA3">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A0206180301洗衣机</w:t>
            </w:r>
          </w:p>
        </w:tc>
        <w:tc>
          <w:tcPr>
            <w:tcW w:w="1054" w:type="pct"/>
            <w:vAlign w:val="center"/>
          </w:tcPr>
          <w:p w14:paraId="79462FC6">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03032953">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《电动洗衣机能效水效限定值及等级》(GB12021.4)</w:t>
            </w:r>
          </w:p>
        </w:tc>
      </w:tr>
      <w:tr w14:paraId="493F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64" w:type="pct"/>
            <w:vMerge w:val="continue"/>
            <w:vAlign w:val="center"/>
          </w:tcPr>
          <w:p w14:paraId="22EE6D94">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5FD06821">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Merge w:val="restart"/>
            <w:vAlign w:val="center"/>
          </w:tcPr>
          <w:p w14:paraId="0B1950EE">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A02061808热水器</w:t>
            </w:r>
          </w:p>
        </w:tc>
        <w:tc>
          <w:tcPr>
            <w:tcW w:w="1054" w:type="pct"/>
            <w:vAlign w:val="center"/>
          </w:tcPr>
          <w:p w14:paraId="13280285">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★电热水器</w:t>
            </w:r>
          </w:p>
        </w:tc>
        <w:tc>
          <w:tcPr>
            <w:tcW w:w="1714" w:type="pct"/>
            <w:vAlign w:val="center"/>
          </w:tcPr>
          <w:p w14:paraId="459F147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《储水式电热水器能效限定值及能效等级》(GB21519)</w:t>
            </w:r>
          </w:p>
        </w:tc>
      </w:tr>
      <w:tr w14:paraId="0898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464" w:type="pct"/>
            <w:vMerge w:val="continue"/>
            <w:vAlign w:val="center"/>
          </w:tcPr>
          <w:p w14:paraId="1D4BC6C3">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16AD791E">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Merge w:val="continue"/>
            <w:vAlign w:val="center"/>
          </w:tcPr>
          <w:p w14:paraId="3E6D861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Align w:val="center"/>
          </w:tcPr>
          <w:p w14:paraId="01570576">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燃气热水器</w:t>
            </w:r>
          </w:p>
        </w:tc>
        <w:tc>
          <w:tcPr>
            <w:tcW w:w="1714" w:type="pct"/>
            <w:vAlign w:val="center"/>
          </w:tcPr>
          <w:p w14:paraId="5B0D1C26">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《家用燃气快速热水器和燃气采暖热水炉能效限定值及能效等级》 (GB20665)</w:t>
            </w:r>
          </w:p>
        </w:tc>
      </w:tr>
      <w:tr w14:paraId="22F5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64" w:type="pct"/>
            <w:vMerge w:val="continue"/>
            <w:vAlign w:val="center"/>
          </w:tcPr>
          <w:p w14:paraId="1C8F52AE">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60529CBF">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Merge w:val="continue"/>
            <w:vAlign w:val="center"/>
          </w:tcPr>
          <w:p w14:paraId="50C30D19">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Align w:val="center"/>
          </w:tcPr>
          <w:p w14:paraId="4B001FBC">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热泵热水器</w:t>
            </w:r>
          </w:p>
        </w:tc>
        <w:tc>
          <w:tcPr>
            <w:tcW w:w="1714" w:type="pct"/>
            <w:vAlign w:val="center"/>
          </w:tcPr>
          <w:p w14:paraId="2268DE18">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《热泵热水机 (器) 能效限定值及 能效等级》(GB29541)</w:t>
            </w:r>
          </w:p>
        </w:tc>
      </w:tr>
      <w:tr w14:paraId="0D20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64" w:type="pct"/>
            <w:vMerge w:val="continue"/>
            <w:vAlign w:val="center"/>
          </w:tcPr>
          <w:p w14:paraId="2FB122CD">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3F465DC8">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Merge w:val="continue"/>
            <w:vAlign w:val="center"/>
          </w:tcPr>
          <w:p w14:paraId="41CB446F">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Align w:val="center"/>
          </w:tcPr>
          <w:p w14:paraId="3F2761A3">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太阳能热水系统</w:t>
            </w:r>
          </w:p>
        </w:tc>
        <w:tc>
          <w:tcPr>
            <w:tcW w:w="1714" w:type="pct"/>
            <w:vAlign w:val="center"/>
          </w:tcPr>
          <w:p w14:paraId="43B3289C">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《家用太阳能热水系统能效限定 值及能效等级》(GB26969)</w:t>
            </w:r>
          </w:p>
        </w:tc>
      </w:tr>
      <w:tr w14:paraId="16A5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464" w:type="pct"/>
            <w:vMerge w:val="restart"/>
            <w:vAlign w:val="center"/>
          </w:tcPr>
          <w:p w14:paraId="25D6D6DA">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11</w:t>
            </w:r>
          </w:p>
        </w:tc>
        <w:tc>
          <w:tcPr>
            <w:tcW w:w="780" w:type="pct"/>
            <w:vMerge w:val="restart"/>
            <w:vAlign w:val="center"/>
          </w:tcPr>
          <w:p w14:paraId="1FEA2199">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p w14:paraId="0030F6C3">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p w14:paraId="741EF8C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p w14:paraId="0DB1A8D1">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p w14:paraId="1E7F3E89">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p w14:paraId="11F986E6">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p w14:paraId="5103B445">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A020619照明设备</w:t>
            </w:r>
          </w:p>
        </w:tc>
        <w:tc>
          <w:tcPr>
            <w:tcW w:w="986" w:type="pct"/>
            <w:vAlign w:val="center"/>
          </w:tcPr>
          <w:p w14:paraId="18C6E5F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 普通照明用双端荧光灯</w:t>
            </w:r>
          </w:p>
        </w:tc>
        <w:tc>
          <w:tcPr>
            <w:tcW w:w="1054" w:type="pct"/>
            <w:vAlign w:val="center"/>
          </w:tcPr>
          <w:p w14:paraId="727D157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0907A165">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《普通照明用双端荧光灯能效限 定值及能效等级》(GB19043)</w:t>
            </w:r>
          </w:p>
        </w:tc>
      </w:tr>
      <w:tr w14:paraId="57AC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464" w:type="pct"/>
            <w:vMerge w:val="continue"/>
            <w:vAlign w:val="center"/>
          </w:tcPr>
          <w:p w14:paraId="310CBF4D">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75C96299">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Align w:val="center"/>
          </w:tcPr>
          <w:p w14:paraId="701AD0F1">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LED道路/隧道照明产品</w:t>
            </w:r>
          </w:p>
        </w:tc>
        <w:tc>
          <w:tcPr>
            <w:tcW w:w="1054" w:type="pct"/>
            <w:vAlign w:val="center"/>
          </w:tcPr>
          <w:p w14:paraId="353AFA38">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6E8A1E35">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《道路和隧道照明用 LED 灯具能 效限定值及能效等级》(GB37478)</w:t>
            </w:r>
          </w:p>
        </w:tc>
      </w:tr>
      <w:tr w14:paraId="3298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64" w:type="pct"/>
            <w:vMerge w:val="continue"/>
            <w:vAlign w:val="center"/>
          </w:tcPr>
          <w:p w14:paraId="5075CC29">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0048AF8C">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Align w:val="center"/>
          </w:tcPr>
          <w:p w14:paraId="65CF4548">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LED筒灯</w:t>
            </w:r>
          </w:p>
        </w:tc>
        <w:tc>
          <w:tcPr>
            <w:tcW w:w="1054" w:type="pct"/>
            <w:vAlign w:val="center"/>
          </w:tcPr>
          <w:p w14:paraId="4DBFE2A9">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10CB841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《室内照明用 LED 产品能效限定 值及能效等级》(GB 30255)</w:t>
            </w:r>
          </w:p>
        </w:tc>
      </w:tr>
      <w:tr w14:paraId="016F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464" w:type="pct"/>
            <w:vMerge w:val="continue"/>
            <w:vAlign w:val="center"/>
          </w:tcPr>
          <w:p w14:paraId="4CF50DB0">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0698FFF5">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Align w:val="center"/>
          </w:tcPr>
          <w:p w14:paraId="3616164F">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普通照明用非定向自镇流LED灯</w:t>
            </w:r>
          </w:p>
        </w:tc>
        <w:tc>
          <w:tcPr>
            <w:tcW w:w="1054" w:type="pct"/>
            <w:vAlign w:val="center"/>
          </w:tcPr>
          <w:p w14:paraId="6E0211D8">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3BFCB2A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《室内照明用 LED 产品能效限定 值及能效等级》(GB30255)</w:t>
            </w:r>
          </w:p>
        </w:tc>
      </w:tr>
      <w:tr w14:paraId="58817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464" w:type="pct"/>
            <w:vAlign w:val="center"/>
          </w:tcPr>
          <w:p w14:paraId="1B7D49A9">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12</w:t>
            </w:r>
          </w:p>
        </w:tc>
        <w:tc>
          <w:tcPr>
            <w:tcW w:w="780" w:type="pct"/>
            <w:vAlign w:val="center"/>
          </w:tcPr>
          <w:p w14:paraId="2F758498">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★A020910 电视设备</w:t>
            </w:r>
          </w:p>
        </w:tc>
        <w:tc>
          <w:tcPr>
            <w:tcW w:w="986" w:type="pct"/>
            <w:vAlign w:val="center"/>
          </w:tcPr>
          <w:p w14:paraId="356AFD95">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A02091001普通电视设备(电视机)</w:t>
            </w:r>
          </w:p>
        </w:tc>
        <w:tc>
          <w:tcPr>
            <w:tcW w:w="1054" w:type="pct"/>
            <w:vAlign w:val="center"/>
          </w:tcPr>
          <w:p w14:paraId="105EDA41">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5981E4B6">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《平板电视能效限定值及能效等 级》(GB24850)</w:t>
            </w:r>
          </w:p>
        </w:tc>
      </w:tr>
      <w:tr w14:paraId="56D6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64" w:type="pct"/>
            <w:vAlign w:val="center"/>
          </w:tcPr>
          <w:p w14:paraId="3AEC866C">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13</w:t>
            </w:r>
          </w:p>
        </w:tc>
        <w:tc>
          <w:tcPr>
            <w:tcW w:w="780" w:type="pct"/>
            <w:vAlign w:val="center"/>
          </w:tcPr>
          <w:p w14:paraId="2309E41B">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★A020911 视频设备</w:t>
            </w:r>
          </w:p>
        </w:tc>
        <w:tc>
          <w:tcPr>
            <w:tcW w:w="986" w:type="pct"/>
            <w:vAlign w:val="center"/>
          </w:tcPr>
          <w:p w14:paraId="517509D2">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A02091107 视频监控设备</w:t>
            </w:r>
          </w:p>
        </w:tc>
        <w:tc>
          <w:tcPr>
            <w:tcW w:w="1054" w:type="pct"/>
            <w:vAlign w:val="center"/>
          </w:tcPr>
          <w:p w14:paraId="148B8A88">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监视器</w:t>
            </w:r>
          </w:p>
        </w:tc>
        <w:tc>
          <w:tcPr>
            <w:tcW w:w="1714" w:type="pct"/>
            <w:vAlign w:val="center"/>
          </w:tcPr>
          <w:p w14:paraId="13194AFF">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以射频信号为主要信号输入的监 视器应符合《平板电视能效限定值 及能效等级》(GB 24850) ，</w:t>
            </w:r>
          </w:p>
          <w:p w14:paraId="3AA20A8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以数字信号为主要信号输入的监 视器应符合《计算机显示器能效限 定值及能效等级》(GB21520)</w:t>
            </w:r>
          </w:p>
        </w:tc>
      </w:tr>
      <w:tr w14:paraId="00A5C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64" w:type="pct"/>
            <w:vAlign w:val="center"/>
          </w:tcPr>
          <w:p w14:paraId="6693681F">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14</w:t>
            </w:r>
          </w:p>
        </w:tc>
        <w:tc>
          <w:tcPr>
            <w:tcW w:w="780" w:type="pct"/>
            <w:vAlign w:val="center"/>
          </w:tcPr>
          <w:p w14:paraId="4A73D113">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A031210饮食炊事机械</w:t>
            </w:r>
          </w:p>
        </w:tc>
        <w:tc>
          <w:tcPr>
            <w:tcW w:w="986" w:type="pct"/>
            <w:vAlign w:val="center"/>
          </w:tcPr>
          <w:p w14:paraId="7D597039">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商用燃气灶具</w:t>
            </w:r>
          </w:p>
        </w:tc>
        <w:tc>
          <w:tcPr>
            <w:tcW w:w="1054" w:type="pct"/>
            <w:vAlign w:val="center"/>
          </w:tcPr>
          <w:p w14:paraId="586F608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3007D039">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《商用燃气灶具能效限定值及能 效等级》(GB 30531)</w:t>
            </w:r>
          </w:p>
        </w:tc>
      </w:tr>
      <w:tr w14:paraId="0C7A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64" w:type="pct"/>
            <w:vMerge w:val="restart"/>
            <w:vAlign w:val="center"/>
          </w:tcPr>
          <w:p w14:paraId="35D87EE9">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15</w:t>
            </w:r>
          </w:p>
        </w:tc>
        <w:tc>
          <w:tcPr>
            <w:tcW w:w="780" w:type="pct"/>
            <w:vMerge w:val="restart"/>
            <w:vAlign w:val="center"/>
          </w:tcPr>
          <w:p w14:paraId="5D67006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★A060805 便器</w:t>
            </w:r>
          </w:p>
        </w:tc>
        <w:tc>
          <w:tcPr>
            <w:tcW w:w="986" w:type="pct"/>
            <w:vAlign w:val="center"/>
          </w:tcPr>
          <w:p w14:paraId="5C6D447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p w14:paraId="2841D5A5">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坐便器</w:t>
            </w:r>
          </w:p>
        </w:tc>
        <w:tc>
          <w:tcPr>
            <w:tcW w:w="1054" w:type="pct"/>
            <w:vAlign w:val="center"/>
          </w:tcPr>
          <w:p w14:paraId="2DA58A2F">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4D3EA41E">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《坐便器水效限定值及水效等级》 (GB25502)</w:t>
            </w:r>
          </w:p>
        </w:tc>
      </w:tr>
      <w:tr w14:paraId="4D1E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64" w:type="pct"/>
            <w:vMerge w:val="continue"/>
            <w:vAlign w:val="center"/>
          </w:tcPr>
          <w:p w14:paraId="45A2FD25">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13450CF8">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Align w:val="center"/>
          </w:tcPr>
          <w:p w14:paraId="4B707D64">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p w14:paraId="3C85256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蹲便器</w:t>
            </w:r>
          </w:p>
        </w:tc>
        <w:tc>
          <w:tcPr>
            <w:tcW w:w="1054" w:type="pct"/>
            <w:vAlign w:val="center"/>
          </w:tcPr>
          <w:p w14:paraId="33D96DF5">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3BA8FA33">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《蹲便器用水效率限定值及用水 效率等级》(GB30717)</w:t>
            </w:r>
          </w:p>
        </w:tc>
      </w:tr>
      <w:tr w14:paraId="5DE1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64" w:type="pct"/>
            <w:vMerge w:val="continue"/>
            <w:vAlign w:val="center"/>
          </w:tcPr>
          <w:p w14:paraId="27554120">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p>
        </w:tc>
        <w:tc>
          <w:tcPr>
            <w:tcW w:w="780" w:type="pct"/>
            <w:vMerge w:val="continue"/>
            <w:vAlign w:val="center"/>
          </w:tcPr>
          <w:p w14:paraId="4587599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986" w:type="pct"/>
            <w:vAlign w:val="center"/>
          </w:tcPr>
          <w:p w14:paraId="09B67B60">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p w14:paraId="11368973">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小便器</w:t>
            </w:r>
          </w:p>
        </w:tc>
        <w:tc>
          <w:tcPr>
            <w:tcW w:w="1054" w:type="pct"/>
            <w:vAlign w:val="center"/>
          </w:tcPr>
          <w:p w14:paraId="2F2F93A0">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33D86D01">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《小便器用水效率限定值及用水 效率等级》(GB28377)</w:t>
            </w:r>
          </w:p>
        </w:tc>
      </w:tr>
      <w:tr w14:paraId="34F7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64" w:type="pct"/>
            <w:vAlign w:val="center"/>
          </w:tcPr>
          <w:p w14:paraId="147E941D">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16</w:t>
            </w:r>
          </w:p>
        </w:tc>
        <w:tc>
          <w:tcPr>
            <w:tcW w:w="780" w:type="pct"/>
            <w:vAlign w:val="center"/>
          </w:tcPr>
          <w:p w14:paraId="4AE655E0">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★A060806 水嘴</w:t>
            </w:r>
          </w:p>
        </w:tc>
        <w:tc>
          <w:tcPr>
            <w:tcW w:w="986" w:type="pct"/>
            <w:vAlign w:val="center"/>
          </w:tcPr>
          <w:p w14:paraId="0876ADB8">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Align w:val="center"/>
          </w:tcPr>
          <w:p w14:paraId="174C1702">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2596205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《水嘴用水效率限定值及用水效 率等级》(GB25501)</w:t>
            </w:r>
          </w:p>
        </w:tc>
      </w:tr>
      <w:tr w14:paraId="1F97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64" w:type="pct"/>
            <w:vAlign w:val="center"/>
          </w:tcPr>
          <w:p w14:paraId="4E6B1088">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17</w:t>
            </w:r>
          </w:p>
        </w:tc>
        <w:tc>
          <w:tcPr>
            <w:tcW w:w="780" w:type="pct"/>
            <w:vAlign w:val="center"/>
          </w:tcPr>
          <w:p w14:paraId="088DF2D7">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A060807便器冲洗阀</w:t>
            </w:r>
          </w:p>
        </w:tc>
        <w:tc>
          <w:tcPr>
            <w:tcW w:w="986" w:type="pct"/>
            <w:vAlign w:val="center"/>
          </w:tcPr>
          <w:p w14:paraId="1A74F270">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Align w:val="center"/>
          </w:tcPr>
          <w:p w14:paraId="6D3B4289">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70D6D953">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《便器冲洗阀用水效率限定值及 用水效率等级》(GB28379)</w:t>
            </w:r>
          </w:p>
        </w:tc>
      </w:tr>
      <w:tr w14:paraId="4FA9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64" w:type="pct"/>
            <w:vAlign w:val="center"/>
          </w:tcPr>
          <w:p w14:paraId="62D33448">
            <w:pPr>
              <w:kinsoku w:val="0"/>
              <w:autoSpaceDE w:val="0"/>
              <w:autoSpaceDN w:val="0"/>
              <w:adjustRightInd w:val="0"/>
              <w:snapToGrid w:val="0"/>
              <w:spacing w:before="95"/>
              <w:jc w:val="center"/>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18</w:t>
            </w:r>
          </w:p>
        </w:tc>
        <w:tc>
          <w:tcPr>
            <w:tcW w:w="780" w:type="pct"/>
            <w:vAlign w:val="center"/>
          </w:tcPr>
          <w:p w14:paraId="2619EF8E">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A060810淋浴器</w:t>
            </w:r>
          </w:p>
        </w:tc>
        <w:tc>
          <w:tcPr>
            <w:tcW w:w="986" w:type="pct"/>
            <w:vAlign w:val="center"/>
          </w:tcPr>
          <w:p w14:paraId="34F287D8">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054" w:type="pct"/>
            <w:vAlign w:val="center"/>
          </w:tcPr>
          <w:p w14:paraId="4C85926D">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p>
        </w:tc>
        <w:tc>
          <w:tcPr>
            <w:tcW w:w="1714" w:type="pct"/>
            <w:vAlign w:val="center"/>
          </w:tcPr>
          <w:p w14:paraId="67FA8134">
            <w:pPr>
              <w:kinsoku w:val="0"/>
              <w:autoSpaceDE w:val="0"/>
              <w:autoSpaceDN w:val="0"/>
              <w:adjustRightInd w:val="0"/>
              <w:snapToGrid w:val="0"/>
              <w:spacing w:before="95"/>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《淋浴器用水效率限定值及用水 效率等级》(GB28378)</w:t>
            </w:r>
          </w:p>
        </w:tc>
      </w:tr>
    </w:tbl>
    <w:p w14:paraId="1DA8C83E">
      <w:pPr>
        <w:kinsoku w:val="0"/>
        <w:autoSpaceDE w:val="0"/>
        <w:autoSpaceDN w:val="0"/>
        <w:adjustRightInd w:val="0"/>
        <w:snapToGrid w:val="0"/>
        <w:spacing w:before="95" w:line="360" w:lineRule="auto"/>
        <w:jc w:val="left"/>
        <w:textAlignment w:val="baseline"/>
        <w:rPr>
          <w:rFonts w:hint="eastAsia" w:ascii="仿宋" w:hAnsi="仿宋" w:eastAsia="仿宋" w:cs="仿宋"/>
          <w:color w:val="333333"/>
          <w:spacing w:val="-2"/>
          <w:sz w:val="24"/>
          <w:highlight w:val="none"/>
        </w:rPr>
      </w:pPr>
    </w:p>
    <w:p w14:paraId="1394A343">
      <w:pPr>
        <w:kinsoku w:val="0"/>
        <w:autoSpaceDE w:val="0"/>
        <w:autoSpaceDN w:val="0"/>
        <w:adjustRightInd w:val="0"/>
        <w:snapToGrid w:val="0"/>
        <w:spacing w:before="95" w:line="360" w:lineRule="auto"/>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注：</w:t>
      </w:r>
    </w:p>
    <w:p w14:paraId="770EFF05">
      <w:pPr>
        <w:kinsoku w:val="0"/>
        <w:autoSpaceDE w:val="0"/>
        <w:autoSpaceDN w:val="0"/>
        <w:adjustRightInd w:val="0"/>
        <w:snapToGrid w:val="0"/>
        <w:spacing w:before="95" w:line="360" w:lineRule="auto"/>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1.节能产品认证应依据相关国家标准的最新版本，依据国家标准中二级能效 (水效)指标。</w:t>
      </w:r>
    </w:p>
    <w:p w14:paraId="0B0A2D54">
      <w:pPr>
        <w:kinsoku w:val="0"/>
        <w:autoSpaceDE w:val="0"/>
        <w:autoSpaceDN w:val="0"/>
        <w:adjustRightInd w:val="0"/>
        <w:snapToGrid w:val="0"/>
        <w:spacing w:before="95" w:line="360" w:lineRule="auto"/>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2.上述产品中认证标准发生变更的，依据原认证标准获得的、仍在有效期内的认证证书可使用至2019年6月1日。</w:t>
      </w:r>
    </w:p>
    <w:p w14:paraId="4AACDE26">
      <w:pPr>
        <w:kinsoku w:val="0"/>
        <w:autoSpaceDE w:val="0"/>
        <w:autoSpaceDN w:val="0"/>
        <w:adjustRightInd w:val="0"/>
        <w:snapToGrid w:val="0"/>
        <w:spacing w:before="95" w:line="360" w:lineRule="auto"/>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3.以“★”标注的为政府强制采购产品。</w:t>
      </w:r>
    </w:p>
    <w:p w14:paraId="34554266">
      <w:pPr>
        <w:kinsoku w:val="0"/>
        <w:autoSpaceDE w:val="0"/>
        <w:autoSpaceDN w:val="0"/>
        <w:adjustRightInd w:val="0"/>
        <w:snapToGrid w:val="0"/>
        <w:spacing w:before="95" w:line="360" w:lineRule="auto"/>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4.属于政府强制采购的节能产品：计算机设备、打印设备（激光打印机、针式打印机）、液晶显示器、制冷空调设备（制冷压缩机、空调机组、专用制冷、空调设备）、镇流器、生活用电器（空调机、电热水器）、普通照明用双端荧光灯、电视设备、视频设备、便器、水嘴。</w:t>
      </w:r>
    </w:p>
    <w:p w14:paraId="7DCACEE8">
      <w:pPr>
        <w:spacing w:line="360" w:lineRule="auto"/>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5.上述产品必须提供认证证书扫描件或中国政府采购网网页截图，否则视为</w:t>
      </w:r>
      <w:r>
        <w:rPr>
          <w:rFonts w:hint="eastAsia" w:ascii="仿宋" w:hAnsi="仿宋" w:eastAsia="仿宋" w:cs="仿宋"/>
          <w:b/>
          <w:bCs/>
          <w:color w:val="333333"/>
          <w:spacing w:val="-2"/>
          <w:sz w:val="24"/>
          <w:highlight w:val="none"/>
        </w:rPr>
        <w:t>无效投标</w:t>
      </w:r>
      <w:r>
        <w:rPr>
          <w:rFonts w:hint="eastAsia" w:ascii="仿宋" w:hAnsi="仿宋" w:eastAsia="仿宋" w:cs="仿宋"/>
          <w:color w:val="333333"/>
          <w:spacing w:val="-2"/>
          <w:sz w:val="24"/>
          <w:highlight w:val="none"/>
        </w:rPr>
        <w:t>。</w:t>
      </w:r>
    </w:p>
    <w:p w14:paraId="0E96355C">
      <w:pPr>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br w:type="page"/>
      </w:r>
    </w:p>
    <w:p w14:paraId="1DA90C08">
      <w:pPr>
        <w:pStyle w:val="4"/>
        <w:jc w:val="center"/>
        <w:rPr>
          <w:rFonts w:hint="eastAsia" w:ascii="仿宋" w:hAnsi="仿宋" w:eastAsia="仿宋" w:cs="仿宋"/>
          <w:szCs w:val="28"/>
          <w:highlight w:val="none"/>
        </w:rPr>
      </w:pPr>
      <w:bookmarkStart w:id="258" w:name="_Toc12241"/>
      <w:bookmarkStart w:id="259" w:name="_Toc2735"/>
      <w:bookmarkStart w:id="260" w:name="_Toc30842"/>
      <w:r>
        <w:rPr>
          <w:rFonts w:hint="eastAsia" w:ascii="仿宋" w:hAnsi="仿宋" w:eastAsia="仿宋" w:cs="仿宋"/>
          <w:sz w:val="28"/>
          <w:szCs w:val="28"/>
          <w:highlight w:val="none"/>
        </w:rPr>
        <w:t>10-2、本国产品标准的声明函</w:t>
      </w:r>
      <w:bookmarkEnd w:id="258"/>
      <w:bookmarkEnd w:id="259"/>
      <w:bookmarkEnd w:id="260"/>
    </w:p>
    <w:p w14:paraId="23CB73C4">
      <w:pPr>
        <w:pStyle w:val="16"/>
        <w:widowControl/>
        <w:shd w:val="clear" w:color="auto" w:fill="FFFFFF"/>
        <w:kinsoku w:val="0"/>
        <w:autoSpaceDE w:val="0"/>
        <w:autoSpaceDN w:val="0"/>
        <w:adjustRightInd w:val="0"/>
        <w:snapToGrid w:val="0"/>
        <w:spacing w:before="24" w:beforeAutospacing="0" w:after="24" w:afterAutospacing="0" w:line="480" w:lineRule="exact"/>
        <w:jc w:val="center"/>
        <w:textAlignment w:val="baseline"/>
        <w:rPr>
          <w:rFonts w:hint="eastAsia" w:ascii="仿宋" w:hAnsi="仿宋" w:eastAsia="仿宋" w:cs="仿宋"/>
          <w:b/>
          <w:bCs/>
          <w:kern w:val="2"/>
          <w:highlight w:val="none"/>
        </w:rPr>
      </w:pPr>
      <w:r>
        <w:rPr>
          <w:rFonts w:hint="eastAsia" w:ascii="仿宋" w:hAnsi="仿宋" w:eastAsia="仿宋" w:cs="仿宋"/>
          <w:b/>
          <w:bCs/>
          <w:kern w:val="2"/>
          <w:highlight w:val="none"/>
        </w:rPr>
        <w:t>关于符合本国产品标准的声明函</w:t>
      </w:r>
    </w:p>
    <w:p w14:paraId="000620A3">
      <w:pPr>
        <w:kinsoku w:val="0"/>
        <w:autoSpaceDE w:val="0"/>
        <w:autoSpaceDN w:val="0"/>
        <w:adjustRightInd w:val="0"/>
        <w:snapToGrid w:val="0"/>
        <w:spacing w:before="95" w:line="360" w:lineRule="auto"/>
        <w:ind w:firstLine="472" w:firstLineChars="200"/>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7EF23090">
      <w:pPr>
        <w:kinsoku w:val="0"/>
        <w:autoSpaceDE w:val="0"/>
        <w:autoSpaceDN w:val="0"/>
        <w:adjustRightInd w:val="0"/>
        <w:snapToGrid w:val="0"/>
        <w:spacing w:before="95" w:line="360" w:lineRule="auto"/>
        <w:ind w:firstLine="472" w:firstLineChars="200"/>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1.（产品名称1）1，生产厂为（厂名）2，厂址为（生产厂址）。（产品名称1）的中国境内生产的组件成本占比≥（规定比例）3。（产品名称1）的（关键组件）4在中国境内生产。（产品名称1）的（关键工序）5在中国境内完成。</w:t>
      </w:r>
    </w:p>
    <w:p w14:paraId="3599E61C">
      <w:pPr>
        <w:kinsoku w:val="0"/>
        <w:autoSpaceDE w:val="0"/>
        <w:autoSpaceDN w:val="0"/>
        <w:adjustRightInd w:val="0"/>
        <w:snapToGrid w:val="0"/>
        <w:spacing w:before="95" w:line="360" w:lineRule="auto"/>
        <w:ind w:firstLine="472" w:firstLineChars="200"/>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2.（产品名称2），生产厂为（厂名），厂址为（生产厂址）。（产品名称2）的中国境内生产的组件成本占比≥（规定比例）。（产品名称2）的（关键组件）在中国境内生产。（产品名称2）的（关键工序）在中国境内完成。</w:t>
      </w:r>
    </w:p>
    <w:p w14:paraId="6D0339B7">
      <w:pPr>
        <w:kinsoku w:val="0"/>
        <w:autoSpaceDE w:val="0"/>
        <w:autoSpaceDN w:val="0"/>
        <w:adjustRightInd w:val="0"/>
        <w:snapToGrid w:val="0"/>
        <w:spacing w:before="95" w:line="360" w:lineRule="auto"/>
        <w:ind w:firstLine="472" w:firstLineChars="200"/>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w:t>
      </w:r>
    </w:p>
    <w:p w14:paraId="237DAD4F">
      <w:pPr>
        <w:kinsoku w:val="0"/>
        <w:autoSpaceDE w:val="0"/>
        <w:autoSpaceDN w:val="0"/>
        <w:adjustRightInd w:val="0"/>
        <w:snapToGrid w:val="0"/>
        <w:spacing w:before="95" w:line="360" w:lineRule="auto"/>
        <w:ind w:firstLine="472" w:firstLineChars="200"/>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本公司（单位）对上述声明内容的真实性负责。如有虚假，愿承担相应法律责任。</w:t>
      </w:r>
    </w:p>
    <w:p w14:paraId="4FB882F2">
      <w:pPr>
        <w:pStyle w:val="7"/>
        <w:spacing w:line="360" w:lineRule="auto"/>
        <w:rPr>
          <w:rFonts w:hint="eastAsia" w:ascii="仿宋" w:hAnsi="仿宋" w:eastAsia="仿宋" w:cs="仿宋"/>
          <w:highlight w:val="none"/>
        </w:rPr>
      </w:pPr>
    </w:p>
    <w:p w14:paraId="6CC40091">
      <w:pPr>
        <w:pStyle w:val="16"/>
        <w:widowControl/>
        <w:shd w:val="clear" w:color="auto" w:fill="FFFFFF"/>
        <w:kinsoku w:val="0"/>
        <w:autoSpaceDE w:val="0"/>
        <w:autoSpaceDN w:val="0"/>
        <w:adjustRightInd w:val="0"/>
        <w:snapToGrid w:val="0"/>
        <w:spacing w:before="24" w:beforeAutospacing="0" w:after="24" w:afterAutospacing="0" w:line="360" w:lineRule="auto"/>
        <w:jc w:val="right"/>
        <w:textAlignment w:val="baseline"/>
        <w:rPr>
          <w:rFonts w:hint="eastAsia" w:ascii="仿宋" w:hAnsi="仿宋" w:eastAsia="仿宋" w:cs="仿宋"/>
          <w:color w:val="333333"/>
          <w:spacing w:val="-2"/>
          <w:kern w:val="2"/>
          <w:highlight w:val="none"/>
        </w:rPr>
      </w:pPr>
      <w:r>
        <w:rPr>
          <w:rFonts w:hint="eastAsia" w:ascii="仿宋" w:hAnsi="仿宋" w:eastAsia="仿宋" w:cs="仿宋"/>
          <w:color w:val="333333"/>
          <w:spacing w:val="-2"/>
          <w:kern w:val="2"/>
          <w:highlight w:val="none"/>
        </w:rPr>
        <w:t>公司（单位）名称（盖章）：　        </w:t>
      </w:r>
    </w:p>
    <w:p w14:paraId="7CFE4FB9">
      <w:pPr>
        <w:pStyle w:val="16"/>
        <w:widowControl/>
        <w:shd w:val="clear" w:color="auto" w:fill="FFFFFF"/>
        <w:kinsoku w:val="0"/>
        <w:autoSpaceDE w:val="0"/>
        <w:autoSpaceDN w:val="0"/>
        <w:adjustRightInd w:val="0"/>
        <w:snapToGrid w:val="0"/>
        <w:spacing w:before="24" w:beforeAutospacing="0" w:after="24" w:afterAutospacing="0" w:line="360" w:lineRule="auto"/>
        <w:jc w:val="right"/>
        <w:textAlignment w:val="baseline"/>
        <w:rPr>
          <w:rFonts w:hint="eastAsia" w:ascii="仿宋" w:hAnsi="仿宋" w:eastAsia="仿宋" w:cs="仿宋"/>
          <w:color w:val="383838"/>
          <w:highlight w:val="none"/>
        </w:rPr>
      </w:pPr>
      <w:r>
        <w:rPr>
          <w:rFonts w:hint="eastAsia" w:ascii="仿宋" w:hAnsi="仿宋" w:eastAsia="仿宋" w:cs="仿宋"/>
          <w:color w:val="333333"/>
          <w:spacing w:val="-2"/>
          <w:kern w:val="2"/>
          <w:highlight w:val="none"/>
        </w:rPr>
        <w:t>日期：　     年　  月　  日   </w:t>
      </w:r>
      <w:r>
        <w:rPr>
          <w:rFonts w:hint="eastAsia" w:ascii="仿宋" w:hAnsi="仿宋" w:eastAsia="仿宋" w:cs="仿宋"/>
          <w:kern w:val="2"/>
          <w:highlight w:val="none"/>
        </w:rPr>
        <w:t>   </w:t>
      </w:r>
      <w:r>
        <w:rPr>
          <w:rFonts w:hint="eastAsia" w:ascii="仿宋" w:hAnsi="仿宋" w:eastAsia="仿宋" w:cs="仿宋"/>
          <w:color w:val="383838"/>
          <w:highlight w:val="none"/>
          <w:shd w:val="clear" w:color="auto" w:fill="FFFFFF"/>
        </w:rPr>
        <w:t>   </w:t>
      </w:r>
    </w:p>
    <w:p w14:paraId="49E6A1B7">
      <w:pPr>
        <w:kinsoku w:val="0"/>
        <w:autoSpaceDE w:val="0"/>
        <w:autoSpaceDN w:val="0"/>
        <w:adjustRightInd w:val="0"/>
        <w:snapToGrid w:val="0"/>
        <w:spacing w:before="95" w:line="360" w:lineRule="auto"/>
        <w:ind w:firstLine="472" w:firstLineChars="200"/>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1.产品如有型号，请在“产品名称”栏一并填写。</w:t>
      </w:r>
    </w:p>
    <w:p w14:paraId="00D7670F">
      <w:pPr>
        <w:kinsoku w:val="0"/>
        <w:autoSpaceDE w:val="0"/>
        <w:autoSpaceDN w:val="0"/>
        <w:adjustRightInd w:val="0"/>
        <w:snapToGrid w:val="0"/>
        <w:spacing w:before="95" w:line="360" w:lineRule="auto"/>
        <w:ind w:firstLine="472" w:firstLineChars="200"/>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2.生产厂名与厂址应与生产厂营业执照载明的相关信息保持一致。</w:t>
      </w:r>
    </w:p>
    <w:p w14:paraId="61691F7F">
      <w:pPr>
        <w:kinsoku w:val="0"/>
        <w:autoSpaceDE w:val="0"/>
        <w:autoSpaceDN w:val="0"/>
        <w:adjustRightInd w:val="0"/>
        <w:snapToGrid w:val="0"/>
        <w:spacing w:before="95" w:line="360" w:lineRule="auto"/>
        <w:ind w:firstLine="472" w:firstLineChars="200"/>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3.该产品的中国境内生产的组件成本占比相关要求实施前，“规定比例”栏可不填，下同。</w:t>
      </w:r>
    </w:p>
    <w:p w14:paraId="2CEE3A1E">
      <w:pPr>
        <w:kinsoku w:val="0"/>
        <w:autoSpaceDE w:val="0"/>
        <w:autoSpaceDN w:val="0"/>
        <w:adjustRightInd w:val="0"/>
        <w:snapToGrid w:val="0"/>
        <w:spacing w:before="95" w:line="360" w:lineRule="auto"/>
        <w:ind w:firstLine="472" w:firstLineChars="200"/>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4.该产品的关键组件要求实施前，“关键组件”栏可不填，下同。</w:t>
      </w:r>
    </w:p>
    <w:p w14:paraId="18856292">
      <w:pPr>
        <w:kinsoku w:val="0"/>
        <w:autoSpaceDE w:val="0"/>
        <w:autoSpaceDN w:val="0"/>
        <w:adjustRightInd w:val="0"/>
        <w:snapToGrid w:val="0"/>
        <w:spacing w:before="95" w:line="360" w:lineRule="auto"/>
        <w:ind w:firstLine="472" w:firstLineChars="200"/>
        <w:jc w:val="left"/>
        <w:textAlignment w:val="baseline"/>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5.该产品的关键工序要求实施前，“关键工序”栏可不填，下同。</w:t>
      </w:r>
    </w:p>
    <w:p w14:paraId="596E5009">
      <w:pPr>
        <w:spacing w:line="360" w:lineRule="auto"/>
        <w:ind w:firstLine="472" w:firstLineChars="200"/>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t>6、风险提示：随中标、成交结果同时公告成交供应商提供的《声明函》或有关证明文件。响应人提供虚假《声明函》、虚假证明文件谋取中标、成交的，依照《中华人民共和国政府采购法》等法律法规规定追究相应责任。</w:t>
      </w:r>
    </w:p>
    <w:p w14:paraId="6648EE16">
      <w:pPr>
        <w:rPr>
          <w:rFonts w:hint="eastAsia" w:ascii="仿宋" w:hAnsi="仿宋" w:eastAsia="仿宋" w:cs="仿宋"/>
          <w:color w:val="333333"/>
          <w:spacing w:val="-2"/>
          <w:sz w:val="24"/>
          <w:highlight w:val="none"/>
        </w:rPr>
      </w:pPr>
      <w:r>
        <w:rPr>
          <w:rFonts w:hint="eastAsia" w:ascii="仿宋" w:hAnsi="仿宋" w:eastAsia="仿宋" w:cs="仿宋"/>
          <w:color w:val="333333"/>
          <w:spacing w:val="-2"/>
          <w:sz w:val="24"/>
          <w:highlight w:val="none"/>
        </w:rPr>
        <w:br w:type="page"/>
      </w:r>
    </w:p>
    <w:p w14:paraId="3E8C84BC">
      <w:pPr>
        <w:pStyle w:val="4"/>
        <w:jc w:val="center"/>
        <w:rPr>
          <w:rFonts w:hint="eastAsia" w:ascii="仿宋" w:hAnsi="仿宋" w:eastAsia="仿宋" w:cs="仿宋"/>
          <w:szCs w:val="24"/>
          <w:highlight w:val="none"/>
        </w:rPr>
      </w:pPr>
      <w:bookmarkStart w:id="261" w:name="_Toc18629"/>
      <w:bookmarkStart w:id="262" w:name="_Toc14230"/>
      <w:bookmarkStart w:id="263" w:name="_Toc13732"/>
      <w:r>
        <w:rPr>
          <w:rFonts w:hint="eastAsia" w:ascii="仿宋" w:hAnsi="仿宋" w:eastAsia="仿宋" w:cs="仿宋"/>
          <w:sz w:val="28"/>
          <w:szCs w:val="28"/>
          <w:highlight w:val="none"/>
        </w:rPr>
        <w:t>10-3、关于符合本国产品标准的成本占比承诺函【如适用】</w:t>
      </w:r>
      <w:bookmarkEnd w:id="261"/>
      <w:bookmarkEnd w:id="262"/>
      <w:bookmarkEnd w:id="263"/>
    </w:p>
    <w:p w14:paraId="3A065CA3">
      <w:pPr>
        <w:jc w:val="center"/>
        <w:rPr>
          <w:rFonts w:hint="eastAsia" w:ascii="仿宋" w:hAnsi="仿宋" w:eastAsia="仿宋" w:cs="仿宋"/>
          <w:b/>
          <w:bCs/>
          <w:sz w:val="24"/>
          <w:highlight w:val="none"/>
        </w:rPr>
      </w:pPr>
    </w:p>
    <w:p w14:paraId="70B47AB4">
      <w:pPr>
        <w:jc w:val="center"/>
        <w:rPr>
          <w:rFonts w:hint="eastAsia" w:ascii="仿宋" w:hAnsi="仿宋" w:eastAsia="仿宋" w:cs="仿宋"/>
          <w:sz w:val="24"/>
          <w:highlight w:val="none"/>
        </w:rPr>
      </w:pPr>
      <w:r>
        <w:rPr>
          <w:rFonts w:hint="eastAsia" w:ascii="仿宋" w:hAnsi="仿宋" w:eastAsia="仿宋" w:cs="仿宋"/>
          <w:b/>
          <w:bCs/>
          <w:sz w:val="24"/>
          <w:highlight w:val="none"/>
        </w:rPr>
        <w:t>关于符合本国产品标准的成本占比承诺函</w:t>
      </w:r>
    </w:p>
    <w:p w14:paraId="2308DA09">
      <w:pPr>
        <w:jc w:val="center"/>
        <w:rPr>
          <w:rFonts w:hint="eastAsia" w:ascii="仿宋" w:hAnsi="仿宋" w:eastAsia="仿宋" w:cs="仿宋"/>
          <w:sz w:val="24"/>
          <w:highlight w:val="none"/>
        </w:rPr>
      </w:pPr>
    </w:p>
    <w:tbl>
      <w:tblPr>
        <w:tblStyle w:val="21"/>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8"/>
        <w:gridCol w:w="2092"/>
      </w:tblGrid>
      <w:tr w14:paraId="76F0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208" w:type="dxa"/>
            <w:vAlign w:val="center"/>
          </w:tcPr>
          <w:p w14:paraId="519E7506">
            <w:pPr>
              <w:jc w:val="center"/>
              <w:rPr>
                <w:rFonts w:hint="eastAsia" w:ascii="仿宋" w:hAnsi="仿宋" w:eastAsia="仿宋" w:cs="仿宋"/>
                <w:b/>
                <w:bCs/>
                <w:sz w:val="24"/>
                <w:highlight w:val="none"/>
                <w:shd w:val="clear" w:color="auto" w:fill="FFFFFF"/>
              </w:rPr>
            </w:pPr>
            <w:r>
              <w:rPr>
                <w:rFonts w:hint="eastAsia" w:ascii="仿宋" w:hAnsi="仿宋" w:eastAsia="仿宋" w:cs="仿宋"/>
                <w:b/>
                <w:bCs/>
                <w:sz w:val="24"/>
                <w:highlight w:val="none"/>
                <w:shd w:val="clear" w:color="auto" w:fill="FFFFFF"/>
              </w:rPr>
              <w:t>项目</w:t>
            </w:r>
          </w:p>
        </w:tc>
        <w:tc>
          <w:tcPr>
            <w:tcW w:w="2092" w:type="dxa"/>
            <w:vAlign w:val="center"/>
          </w:tcPr>
          <w:p w14:paraId="109F7E84">
            <w:pPr>
              <w:jc w:val="center"/>
              <w:rPr>
                <w:rFonts w:hint="eastAsia" w:ascii="仿宋" w:hAnsi="仿宋" w:eastAsia="仿宋" w:cs="仿宋"/>
                <w:b/>
                <w:bCs/>
                <w:sz w:val="24"/>
                <w:highlight w:val="none"/>
                <w:shd w:val="clear" w:color="auto" w:fill="FFFFFF"/>
              </w:rPr>
            </w:pPr>
            <w:r>
              <w:rPr>
                <w:rFonts w:hint="eastAsia" w:ascii="仿宋" w:hAnsi="仿宋" w:eastAsia="仿宋" w:cs="仿宋"/>
                <w:b/>
                <w:bCs/>
                <w:sz w:val="24"/>
                <w:highlight w:val="none"/>
                <w:shd w:val="clear" w:color="auto" w:fill="FFFFFF"/>
              </w:rPr>
              <w:t>填写内容</w:t>
            </w:r>
          </w:p>
        </w:tc>
      </w:tr>
      <w:tr w14:paraId="01BE6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8" w:type="dxa"/>
            <w:vAlign w:val="center"/>
          </w:tcPr>
          <w:p w14:paraId="5AAD428A">
            <w:pPr>
              <w:jc w:val="center"/>
              <w:rPr>
                <w:rFonts w:hint="eastAsia" w:ascii="仿宋" w:hAnsi="仿宋" w:eastAsia="仿宋" w:cs="仿宋"/>
                <w:sz w:val="24"/>
                <w:highlight w:val="none"/>
                <w:shd w:val="clear" w:color="auto" w:fill="FFFFFF"/>
              </w:rPr>
            </w:pPr>
          </w:p>
          <w:p w14:paraId="15E7D291">
            <w:pPr>
              <w:jc w:val="center"/>
              <w:rPr>
                <w:rFonts w:hint="eastAsia" w:ascii="仿宋" w:hAnsi="仿宋" w:eastAsia="仿宋" w:cs="仿宋"/>
                <w:spacing w:val="4"/>
                <w:sz w:val="24"/>
                <w:highlight w:val="none"/>
                <w:bdr w:val="single" w:color="auto" w:sz="2" w:space="0"/>
                <w:shd w:val="clear" w:color="auto" w:fill="FFFFFF"/>
              </w:rPr>
            </w:pPr>
            <m:oMathPara>
              <m:oMath>
                <m:r>
                  <m:rPr>
                    <m:sty m:val="p"/>
                  </m:rPr>
                  <w:rPr>
                    <w:rFonts w:hint="eastAsia" w:ascii="Cambria Math" w:hAnsi="Cambria Math" w:eastAsia="仿宋" w:cs="仿宋"/>
                    <w:sz w:val="24"/>
                    <w:highlight w:val="none"/>
                  </w:rPr>
                  <m:t>比例</m:t>
                </m:r>
                <m:r>
                  <m:rPr/>
                  <w:rPr>
                    <w:rFonts w:hint="eastAsia" w:ascii="Cambria Math" w:hAnsi="Cambria Math" w:eastAsia="仿宋" w:cs="仿宋"/>
                    <w:sz w:val="24"/>
                    <w:highlight w:val="none"/>
                  </w:rPr>
                  <m:t>=</m:t>
                </m:r>
                <m:f>
                  <m:fPr>
                    <m:ctrlPr>
                      <w:rPr>
                        <w:rFonts w:hint="eastAsia" w:ascii="Cambria Math" w:hAnsi="Cambria Math" w:eastAsia="仿宋" w:cs="仿宋"/>
                        <w:i/>
                        <w:sz w:val="24"/>
                        <w:highlight w:val="none"/>
                      </w:rPr>
                    </m:ctrlPr>
                  </m:fPr>
                  <m:num>
                    <m:r>
                      <m:rPr>
                        <m:sty m:val="p"/>
                      </m:rPr>
                      <w:rPr>
                        <w:rFonts w:hint="eastAsia" w:ascii="Cambria Math" w:hAnsi="Cambria Math" w:eastAsia="仿宋" w:cs="仿宋"/>
                        <w:sz w:val="24"/>
                        <w:highlight w:val="none"/>
                      </w:rPr>
                      <m:t>符合本国产品标准的投标产品成本之和</m:t>
                    </m:r>
                    <m:ctrlPr>
                      <w:rPr>
                        <w:rFonts w:hint="eastAsia" w:ascii="Cambria Math" w:hAnsi="Cambria Math" w:eastAsia="仿宋" w:cs="仿宋"/>
                        <w:sz w:val="24"/>
                        <w:highlight w:val="none"/>
                      </w:rPr>
                    </m:ctrlPr>
                  </m:num>
                  <m:den>
                    <m:r>
                      <m:rPr>
                        <m:sty m:val="p"/>
                      </m:rPr>
                      <w:rPr>
                        <w:rFonts w:hint="eastAsia" w:ascii="Cambria Math" w:hAnsi="Cambria Math" w:eastAsia="仿宋" w:cs="仿宋"/>
                        <w:sz w:val="24"/>
                        <w:highlight w:val="none"/>
                      </w:rPr>
                      <m:t>提供的全部产品成本之和</m:t>
                    </m:r>
                    <m:ctrlPr>
                      <w:rPr>
                        <w:rFonts w:hint="eastAsia" w:ascii="Cambria Math" w:hAnsi="Cambria Math" w:eastAsia="仿宋" w:cs="仿宋"/>
                        <w:sz w:val="24"/>
                        <w:highlight w:val="none"/>
                      </w:rPr>
                    </m:ctrlPr>
                  </m:den>
                </m:f>
                <m:r>
                  <m:rPr>
                    <m:sty m:val="p"/>
                  </m:rPr>
                  <w:rPr>
                    <w:rFonts w:hint="eastAsia" w:ascii="Cambria Math" w:hAnsi="Cambria Math" w:eastAsia="仿宋" w:cs="仿宋"/>
                    <w:sz w:val="24"/>
                    <w:highlight w:val="none"/>
                  </w:rPr>
                  <m:t>×</m:t>
                </m:r>
                <m:r>
                  <m:rPr/>
                  <w:rPr>
                    <w:rFonts w:hint="eastAsia" w:ascii="Cambria Math" w:hAnsi="Cambria Math" w:eastAsia="仿宋" w:cs="仿宋"/>
                    <w:sz w:val="24"/>
                    <w:highlight w:val="none"/>
                  </w:rPr>
                  <m:t>100%</m:t>
                </m:r>
              </m:oMath>
            </m:oMathPara>
          </w:p>
          <w:p w14:paraId="2E8818D0">
            <w:pPr>
              <w:jc w:val="center"/>
              <w:rPr>
                <w:rFonts w:hint="eastAsia" w:ascii="仿宋" w:hAnsi="仿宋" w:eastAsia="仿宋" w:cs="仿宋"/>
                <w:spacing w:val="4"/>
                <w:sz w:val="24"/>
                <w:highlight w:val="none"/>
                <w:bdr w:val="single" w:color="auto" w:sz="2" w:space="0"/>
                <w:shd w:val="clear" w:color="auto" w:fill="FFFFFF"/>
              </w:rPr>
            </w:pPr>
          </w:p>
          <w:p w14:paraId="4E27CF8B">
            <w:pPr>
              <w:jc w:val="center"/>
              <w:rPr>
                <w:rFonts w:hint="eastAsia" w:ascii="仿宋" w:hAnsi="仿宋" w:eastAsia="仿宋" w:cs="仿宋"/>
                <w:sz w:val="24"/>
                <w:highlight w:val="none"/>
                <w:shd w:val="clear" w:color="auto" w:fill="FFFFFF"/>
              </w:rPr>
            </w:pPr>
          </w:p>
        </w:tc>
        <w:tc>
          <w:tcPr>
            <w:tcW w:w="2092" w:type="dxa"/>
            <w:vAlign w:val="center"/>
          </w:tcPr>
          <w:p w14:paraId="2CD11B70">
            <w:pPr>
              <w:jc w:val="center"/>
              <w:rPr>
                <w:rFonts w:hint="eastAsia" w:ascii="仿宋" w:hAnsi="仿宋" w:eastAsia="仿宋" w:cs="仿宋"/>
                <w:sz w:val="24"/>
                <w:highlight w:val="none"/>
                <w:shd w:val="clear" w:color="auto" w:fill="FFFFFF"/>
              </w:rPr>
            </w:pPr>
            <w:r>
              <w:rPr>
                <w:rFonts w:hint="eastAsia" w:ascii="仿宋" w:hAnsi="仿宋" w:eastAsia="仿宋" w:cs="仿宋"/>
                <w:sz w:val="24"/>
                <w:highlight w:val="none"/>
                <w:u w:val="single"/>
                <w:shd w:val="clear" w:color="auto" w:fill="FFFFFF"/>
              </w:rPr>
              <w:t xml:space="preserve">       </w:t>
            </w:r>
            <w:r>
              <w:rPr>
                <w:rFonts w:hint="eastAsia" w:ascii="仿宋" w:hAnsi="仿宋" w:eastAsia="仿宋" w:cs="仿宋"/>
                <w:sz w:val="24"/>
                <w:highlight w:val="none"/>
                <w:shd w:val="clear" w:color="auto" w:fill="FFFFFF"/>
              </w:rPr>
              <w:t>%</w:t>
            </w:r>
          </w:p>
        </w:tc>
      </w:tr>
    </w:tbl>
    <w:p w14:paraId="3BC17BE8">
      <w:pPr>
        <w:spacing w:line="360" w:lineRule="auto"/>
        <w:ind w:firstLine="480" w:firstLineChars="200"/>
        <w:jc w:val="left"/>
        <w:rPr>
          <w:rFonts w:hint="eastAsia" w:ascii="仿宋" w:hAnsi="仿宋" w:eastAsia="仿宋" w:cs="仿宋"/>
          <w:sz w:val="24"/>
          <w:highlight w:val="none"/>
          <w:shd w:val="clear" w:color="auto" w:fill="FFFFFF"/>
        </w:rPr>
      </w:pPr>
      <w:r>
        <w:rPr>
          <w:rFonts w:hint="eastAsia" w:ascii="仿宋" w:hAnsi="仿宋" w:eastAsia="仿宋" w:cs="仿宋"/>
          <w:sz w:val="24"/>
          <w:highlight w:val="none"/>
          <w:shd w:val="clear" w:color="auto" w:fill="FFFFFF"/>
        </w:rPr>
        <w:t>本公司（单位）填写、盖章与签署，即视为对表格内容真实、准确、完整的正式承诺。如存在任何虚假、误导性陈述或重大遗漏，本公司（单位）愿承担由此产生的一切法律后果及责任。</w:t>
      </w:r>
    </w:p>
    <w:p w14:paraId="0329DFB4">
      <w:pPr>
        <w:wordWrap w:val="0"/>
        <w:spacing w:line="360" w:lineRule="auto"/>
        <w:ind w:firstLine="4320" w:firstLineChars="1800"/>
        <w:rPr>
          <w:rFonts w:hint="eastAsia" w:ascii="仿宋" w:hAnsi="仿宋" w:eastAsia="仿宋" w:cs="仿宋"/>
          <w:sz w:val="24"/>
          <w:highlight w:val="none"/>
        </w:rPr>
      </w:pPr>
      <w:r>
        <w:rPr>
          <w:rFonts w:hint="eastAsia" w:ascii="仿宋" w:hAnsi="仿宋" w:eastAsia="仿宋" w:cs="仿宋"/>
          <w:sz w:val="24"/>
          <w:highlight w:val="none"/>
        </w:rPr>
        <w:t>供应商名称：（公章）</w:t>
      </w:r>
    </w:p>
    <w:p w14:paraId="5CF1A0B6">
      <w:pPr>
        <w:wordWrap w:val="0"/>
        <w:spacing w:line="360" w:lineRule="auto"/>
        <w:ind w:firstLine="4320" w:firstLineChars="1800"/>
        <w:rPr>
          <w:rFonts w:hint="eastAsia" w:ascii="仿宋" w:hAnsi="仿宋" w:eastAsia="仿宋" w:cs="仿宋"/>
          <w:kern w:val="0"/>
          <w:sz w:val="24"/>
          <w:highlight w:val="none"/>
          <w:lang w:bidi="ar"/>
        </w:rPr>
      </w:pPr>
      <w:r>
        <w:rPr>
          <w:rFonts w:hint="eastAsia" w:ascii="仿宋" w:hAnsi="仿宋" w:eastAsia="仿宋" w:cs="仿宋"/>
          <w:sz w:val="24"/>
          <w:highlight w:val="none"/>
        </w:rPr>
        <w:t>日期：    年    月　  日</w:t>
      </w:r>
      <w:r>
        <w:rPr>
          <w:rFonts w:hint="eastAsia" w:ascii="仿宋" w:hAnsi="仿宋" w:eastAsia="仿宋" w:cs="仿宋"/>
          <w:kern w:val="0"/>
          <w:sz w:val="24"/>
          <w:highlight w:val="none"/>
          <w:shd w:val="clear" w:color="auto" w:fill="FFFFFF"/>
          <w:lang w:bidi="ar"/>
        </w:rPr>
        <w:t>         </w:t>
      </w:r>
    </w:p>
    <w:p w14:paraId="2EE1F595">
      <w:pPr>
        <w:spacing w:line="360" w:lineRule="auto"/>
        <w:jc w:val="left"/>
        <w:rPr>
          <w:rFonts w:hint="eastAsia" w:ascii="仿宋" w:hAnsi="仿宋" w:eastAsia="仿宋" w:cs="仿宋"/>
          <w:sz w:val="24"/>
          <w:highlight w:val="none"/>
          <w:shd w:val="clear" w:color="auto" w:fill="FFFFFF"/>
        </w:rPr>
      </w:pPr>
    </w:p>
    <w:p w14:paraId="6758F3DC">
      <w:pPr>
        <w:spacing w:line="360" w:lineRule="auto"/>
        <w:jc w:val="left"/>
        <w:rPr>
          <w:rFonts w:hint="eastAsia" w:ascii="仿宋" w:hAnsi="仿宋" w:eastAsia="仿宋" w:cs="仿宋"/>
          <w:sz w:val="24"/>
          <w:highlight w:val="none"/>
          <w:shd w:val="clear" w:color="auto" w:fill="FFFFFF"/>
        </w:rPr>
      </w:pPr>
      <w:r>
        <w:rPr>
          <w:rFonts w:hint="eastAsia" w:ascii="仿宋" w:hAnsi="仿宋" w:eastAsia="仿宋" w:cs="仿宋"/>
          <w:sz w:val="24"/>
          <w:highlight w:val="none"/>
          <w:shd w:val="clear" w:color="auto" w:fill="FFFFFF"/>
        </w:rPr>
        <w:t>注：</w:t>
      </w:r>
    </w:p>
    <w:p w14:paraId="2C50261C">
      <w:pPr>
        <w:widowControl/>
        <w:kinsoku w:val="0"/>
        <w:autoSpaceDE w:val="0"/>
        <w:autoSpaceDN w:val="0"/>
        <w:adjustRightInd w:val="0"/>
        <w:snapToGrid w:val="0"/>
        <w:spacing w:line="360" w:lineRule="auto"/>
        <w:ind w:firstLine="480" w:firstLineChars="200"/>
        <w:jc w:val="left"/>
        <w:textAlignment w:val="baseline"/>
        <w:rPr>
          <w:rFonts w:hint="eastAsia" w:ascii="仿宋" w:hAnsi="仿宋" w:eastAsia="仿宋" w:cs="仿宋"/>
          <w:sz w:val="24"/>
          <w:highlight w:val="none"/>
          <w:shd w:val="clear" w:color="auto" w:fill="FFFFFF"/>
        </w:rPr>
      </w:pPr>
      <w:r>
        <w:rPr>
          <w:rFonts w:hint="eastAsia" w:ascii="仿宋" w:hAnsi="仿宋" w:eastAsia="仿宋" w:cs="仿宋"/>
          <w:sz w:val="24"/>
          <w:highlight w:val="none"/>
          <w:shd w:val="clear" w:color="auto" w:fill="FFFFFF"/>
        </w:rPr>
        <w:t>1、单一产品采购不填写此函，多品目采购包如供应商所有产品均为本国产品且填写《关于符合本国产品标准的声明函》可不填写此函。</w:t>
      </w:r>
    </w:p>
    <w:p w14:paraId="5669A99D">
      <w:pPr>
        <w:pStyle w:val="7"/>
        <w:spacing w:line="360" w:lineRule="auto"/>
        <w:ind w:firstLine="480" w:firstLineChars="200"/>
        <w:rPr>
          <w:rFonts w:hint="eastAsia" w:ascii="仿宋" w:hAnsi="仿宋" w:eastAsia="仿宋" w:cs="仿宋"/>
          <w:highlight w:val="none"/>
        </w:rPr>
      </w:pPr>
      <w:r>
        <w:rPr>
          <w:rFonts w:hint="eastAsia" w:ascii="仿宋" w:hAnsi="仿宋" w:eastAsia="仿宋" w:cs="仿宋"/>
          <w:sz w:val="24"/>
          <w:highlight w:val="none"/>
          <w:shd w:val="clear" w:color="auto" w:fill="FFFFFF"/>
        </w:rPr>
        <w:t>2、根据《国务院办公厅关于在政府采购中实施本国产品标准及相关政策的通知》（国办发〔2025〕34号）规定，当采购项目或采购包中含有多种产品，供应商对其提供的符合本国产品标准的产品成本之和占其提供的全部产品成本之和比例是否达到80%作出承诺，该比例达到80%以上，依法对其全部产品总报价给予20%的价格扣除，未达到80%,不享受价格评审优惠。</w:t>
      </w:r>
    </w:p>
    <w:p w14:paraId="78059978">
      <w:pPr>
        <w:rPr>
          <w:rFonts w:hint="eastAsia" w:ascii="仿宋" w:hAnsi="仿宋" w:eastAsia="仿宋" w:cs="仿宋"/>
          <w:b/>
          <w:bCs/>
          <w:sz w:val="24"/>
          <w:highlight w:val="none"/>
        </w:rPr>
      </w:pPr>
      <w:r>
        <w:rPr>
          <w:rFonts w:hint="eastAsia" w:ascii="仿宋" w:hAnsi="仿宋" w:eastAsia="仿宋" w:cs="仿宋"/>
          <w:b/>
          <w:bCs/>
          <w:sz w:val="24"/>
          <w:highlight w:val="none"/>
        </w:rPr>
        <w:br w:type="page"/>
      </w:r>
    </w:p>
    <w:p w14:paraId="27D052AF">
      <w:pPr>
        <w:pStyle w:val="4"/>
        <w:jc w:val="center"/>
        <w:rPr>
          <w:rFonts w:hint="eastAsia" w:ascii="仿宋" w:hAnsi="仿宋" w:eastAsia="仿宋" w:cs="仿宋"/>
          <w:highlight w:val="none"/>
        </w:rPr>
      </w:pPr>
      <w:bookmarkStart w:id="264" w:name="_Toc31809"/>
      <w:bookmarkStart w:id="265" w:name="_Toc8530"/>
      <w:bookmarkStart w:id="266" w:name="_Toc19062"/>
      <w:r>
        <w:rPr>
          <w:rFonts w:hint="eastAsia" w:ascii="仿宋" w:hAnsi="仿宋" w:eastAsia="仿宋" w:cs="仿宋"/>
          <w:sz w:val="28"/>
          <w:szCs w:val="28"/>
          <w:highlight w:val="none"/>
        </w:rPr>
        <w:t>11、技术文件</w:t>
      </w:r>
      <w:bookmarkEnd w:id="264"/>
      <w:bookmarkEnd w:id="265"/>
      <w:bookmarkEnd w:id="266"/>
    </w:p>
    <w:p w14:paraId="3988702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内容包括（供应商视需要自行编写）：</w:t>
      </w:r>
    </w:p>
    <w:p w14:paraId="4184F63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1、货物的技术规格与功能的详细说明和产品样本</w:t>
      </w:r>
    </w:p>
    <w:p w14:paraId="44C3566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2、主要外购件、配套件的型号规格和制造商分项报价表</w:t>
      </w:r>
    </w:p>
    <w:p w14:paraId="5F5AB05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3、标准附件、备品备件和专用工具等</w:t>
      </w:r>
    </w:p>
    <w:p w14:paraId="2930FD0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4、供应商认为需要说明的其他内容</w:t>
      </w:r>
    </w:p>
    <w:p w14:paraId="3CA6A373">
      <w:pPr>
        <w:rPr>
          <w:rFonts w:hint="eastAsia" w:ascii="仿宋" w:hAnsi="仿宋" w:eastAsia="仿宋" w:cs="仿宋"/>
          <w:sz w:val="24"/>
          <w:highlight w:val="none"/>
        </w:rPr>
      </w:pPr>
      <w:r>
        <w:rPr>
          <w:rFonts w:hint="eastAsia" w:ascii="仿宋" w:hAnsi="仿宋" w:eastAsia="仿宋" w:cs="仿宋"/>
          <w:sz w:val="24"/>
          <w:highlight w:val="none"/>
        </w:rPr>
        <w:br w:type="page"/>
      </w:r>
    </w:p>
    <w:p w14:paraId="14684A51">
      <w:pPr>
        <w:pStyle w:val="4"/>
        <w:jc w:val="center"/>
        <w:rPr>
          <w:rFonts w:hint="eastAsia" w:ascii="仿宋" w:hAnsi="仿宋" w:eastAsia="仿宋" w:cs="仿宋"/>
          <w:szCs w:val="24"/>
          <w:highlight w:val="none"/>
        </w:rPr>
      </w:pPr>
      <w:bookmarkStart w:id="267" w:name="_Toc475970899"/>
      <w:bookmarkStart w:id="268" w:name="_Toc286760785"/>
      <w:bookmarkStart w:id="269" w:name="_Toc332035392"/>
      <w:bookmarkStart w:id="270" w:name="_Toc339545659"/>
      <w:bookmarkStart w:id="271" w:name="_Toc5077"/>
      <w:bookmarkStart w:id="272" w:name="_Toc25413"/>
      <w:bookmarkStart w:id="273" w:name="_Toc3904"/>
      <w:bookmarkStart w:id="274" w:name="_Toc5325"/>
      <w:bookmarkStart w:id="275" w:name="_Toc25082"/>
      <w:bookmarkStart w:id="276" w:name="_Toc27170"/>
      <w:r>
        <w:rPr>
          <w:rFonts w:hint="eastAsia" w:ascii="仿宋" w:hAnsi="仿宋" w:eastAsia="仿宋" w:cs="仿宋"/>
          <w:sz w:val="28"/>
          <w:szCs w:val="28"/>
          <w:highlight w:val="none"/>
        </w:rPr>
        <w:t>12、资格证明文件</w:t>
      </w:r>
      <w:bookmarkEnd w:id="267"/>
      <w:bookmarkEnd w:id="268"/>
      <w:bookmarkEnd w:id="269"/>
      <w:bookmarkEnd w:id="270"/>
      <w:bookmarkEnd w:id="271"/>
      <w:bookmarkEnd w:id="272"/>
      <w:bookmarkEnd w:id="273"/>
      <w:bookmarkEnd w:id="274"/>
      <w:bookmarkEnd w:id="275"/>
      <w:bookmarkEnd w:id="276"/>
    </w:p>
    <w:p w14:paraId="629F38A7">
      <w:pPr>
        <w:spacing w:line="360" w:lineRule="auto"/>
        <w:rPr>
          <w:rFonts w:hint="eastAsia" w:ascii="仿宋" w:hAnsi="仿宋" w:eastAsia="仿宋" w:cs="仿宋"/>
          <w:sz w:val="24"/>
          <w:highlight w:val="none"/>
        </w:rPr>
      </w:pPr>
    </w:p>
    <w:p w14:paraId="6319E0C4">
      <w:p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填写须知：</w:t>
      </w:r>
    </w:p>
    <w:p w14:paraId="132B0BF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1)供应商应填写和提交下述规定的资格证明文件。复印件均须加盖公章；</w:t>
      </w:r>
    </w:p>
    <w:p w14:paraId="1254725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2）所附格式中要求填写的全部内容都必须如实填写；</w:t>
      </w:r>
    </w:p>
    <w:p w14:paraId="7279A41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3）本资格声明的签字人应保证全部声明和填写的内容是真实的和正确的；</w:t>
      </w:r>
    </w:p>
    <w:p w14:paraId="3C18F4F6">
      <w:pPr>
        <w:spacing w:line="360" w:lineRule="auto"/>
        <w:ind w:firstLine="480" w:firstLineChars="200"/>
        <w:rPr>
          <w:rFonts w:hint="eastAsia" w:ascii="仿宋" w:hAnsi="仿宋" w:eastAsia="仿宋" w:cs="仿宋"/>
          <w:highlight w:val="none"/>
        </w:rPr>
      </w:pPr>
      <w:r>
        <w:rPr>
          <w:rFonts w:hint="eastAsia" w:ascii="仿宋" w:hAnsi="仿宋" w:eastAsia="仿宋" w:cs="仿宋"/>
          <w:sz w:val="24"/>
          <w:highlight w:val="none"/>
        </w:rPr>
        <w:t>4）询价小组将应用供应商提交的资料，根据自己的判断和考虑决定供应商履行合同的合格性及能力。</w:t>
      </w:r>
    </w:p>
    <w:p w14:paraId="2F7346C7">
      <w:p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sz w:val="24"/>
          <w:highlight w:val="none"/>
        </w:rPr>
        <w:t>12.1</w:t>
      </w:r>
      <w:r>
        <w:rPr>
          <w:rFonts w:hint="eastAsia" w:ascii="仿宋" w:hAnsi="仿宋" w:eastAsia="仿宋" w:cs="仿宋"/>
          <w:b/>
          <w:bCs/>
          <w:sz w:val="24"/>
          <w:highlight w:val="none"/>
        </w:rPr>
        <w:t>具有独立承担民事责任的能力的资格证明文件</w:t>
      </w:r>
    </w:p>
    <w:p w14:paraId="23A7E2FA">
      <w:pPr>
        <w:spacing w:line="360" w:lineRule="auto"/>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12.2具有良好的商业信誉和健全的财务会计制度的证明文件</w:t>
      </w:r>
    </w:p>
    <w:p w14:paraId="05FE5EDD">
      <w:pPr>
        <w:spacing w:line="360" w:lineRule="auto"/>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12.3具有履行合同所必需的设备和专业技术能力的证明文件</w:t>
      </w:r>
    </w:p>
    <w:p w14:paraId="60DB99F3">
      <w:pPr>
        <w:spacing w:line="360" w:lineRule="auto"/>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12.4有依法缴纳税收和社会保障资金的良好记录的证明文件</w:t>
      </w:r>
    </w:p>
    <w:p w14:paraId="189BEF96">
      <w:pPr>
        <w:spacing w:line="360" w:lineRule="auto"/>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12.5参加采购前三年内，在经营活动中没有重大违法记录的证明文件</w:t>
      </w:r>
    </w:p>
    <w:p w14:paraId="25FCD13E">
      <w:pPr>
        <w:spacing w:line="360" w:lineRule="auto"/>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12.6其他法律要求</w:t>
      </w:r>
    </w:p>
    <w:p w14:paraId="0DF47473">
      <w:pPr>
        <w:spacing w:line="360" w:lineRule="auto"/>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（提供江西省政府采购供应商资格信用承诺函 详见格式12-1）</w:t>
      </w:r>
    </w:p>
    <w:p w14:paraId="32798613">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highlight w:val="none"/>
        </w:rPr>
        <w:t>6、其他资格证明材料</w:t>
      </w:r>
      <w:r>
        <w:rPr>
          <w:rFonts w:hint="eastAsia" w:ascii="仿宋" w:hAnsi="仿宋" w:eastAsia="仿宋" w:cs="仿宋"/>
          <w:sz w:val="24"/>
          <w:highlight w:val="none"/>
        </w:rPr>
        <w:t xml:space="preserve">； </w:t>
      </w:r>
    </w:p>
    <w:p w14:paraId="0AC1D66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12-2.法定代表人（或经营者）授权书（见格式）</w:t>
      </w:r>
    </w:p>
    <w:p w14:paraId="58220604">
      <w:pPr>
        <w:spacing w:line="360" w:lineRule="auto"/>
        <w:jc w:val="center"/>
        <w:rPr>
          <w:rFonts w:hint="eastAsia" w:ascii="仿宋" w:hAnsi="仿宋" w:eastAsia="仿宋" w:cs="仿宋"/>
          <w:b/>
          <w:bCs/>
          <w:sz w:val="24"/>
          <w:highlight w:val="none"/>
        </w:rPr>
      </w:pPr>
      <w:r>
        <w:rPr>
          <w:rFonts w:hint="eastAsia" w:ascii="仿宋" w:hAnsi="仿宋" w:eastAsia="仿宋" w:cs="仿宋"/>
          <w:b/>
          <w:bCs/>
          <w:sz w:val="24"/>
          <w:highlight w:val="none"/>
        </w:rPr>
        <w:br w:type="page"/>
      </w:r>
      <w:r>
        <w:rPr>
          <w:rFonts w:hint="eastAsia" w:ascii="仿宋" w:hAnsi="仿宋" w:eastAsia="仿宋" w:cs="仿宋"/>
          <w:b/>
          <w:bCs/>
          <w:sz w:val="24"/>
          <w:highlight w:val="none"/>
        </w:rPr>
        <w:t>12-1.江西省政府采购供应商资格信用承诺函</w:t>
      </w:r>
    </w:p>
    <w:p w14:paraId="684E729B">
      <w:pPr>
        <w:spacing w:line="480" w:lineRule="auto"/>
        <w:rPr>
          <w:rFonts w:hint="eastAsia" w:ascii="仿宋" w:hAnsi="仿宋" w:eastAsia="仿宋" w:cs="仿宋"/>
          <w:sz w:val="24"/>
          <w:highlight w:val="none"/>
        </w:rPr>
      </w:pPr>
    </w:p>
    <w:p w14:paraId="21B88CA5">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致（采购人或政府采购代理机构）：</w:t>
      </w:r>
    </w:p>
    <w:p w14:paraId="7E6C212E">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单位名称（自然人姓名）：</w:t>
      </w:r>
    </w:p>
    <w:p w14:paraId="7098929F">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统一社会信用代码（身份证号码）：</w:t>
      </w:r>
    </w:p>
    <w:p w14:paraId="57867D12">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法定代表人（负责人）：</w:t>
      </w:r>
    </w:p>
    <w:p w14:paraId="3DD9E103">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联系地址和电话：</w:t>
      </w:r>
    </w:p>
    <w:p w14:paraId="5D9423A6">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我单位（本人）自愿参加本次政府采购活动，严格遵守《中华人民共和国政府采购法》及相关法律法规，坚守公开、公平、公正和诚实信用等原则，依法诚信经营，并郑重承诺：</w:t>
      </w:r>
    </w:p>
    <w:p w14:paraId="71E971C7">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（一）我单位（本人）符合采购文件要求以及《中华人民共和国政府采购法》第二十二条规定的条件：</w:t>
      </w:r>
    </w:p>
    <w:p w14:paraId="515A5558">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1.具有独立承担民事责任的能力；</w:t>
      </w:r>
    </w:p>
    <w:p w14:paraId="4D559A45">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2.具有良好的商业信誉和健全的财务会计制度；</w:t>
      </w:r>
    </w:p>
    <w:p w14:paraId="5FACA2F7">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3.具有履行合同所必需的设备和专业技术能力；</w:t>
      </w:r>
    </w:p>
    <w:p w14:paraId="661A86A5">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4.有依法缴纳税收和社会保障资金的良好记录；</w:t>
      </w:r>
    </w:p>
    <w:p w14:paraId="2F114F75">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5.参加政府采购活动前三年内，在经营活动中没有重大违法记录；</w:t>
      </w:r>
    </w:p>
    <w:p w14:paraId="682F1E31">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6.符合法律、行政法规规定的其他条件。</w:t>
      </w:r>
    </w:p>
    <w:p w14:paraId="1CF00A86">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（二）我单位（本人）未被列入严重失信主体名单、失信被执行人、税收违法黑名单、政府采购严重违法失信行为记录名单。</w:t>
      </w:r>
    </w:p>
    <w:p w14:paraId="700C5FFE">
      <w:pPr>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381A3DE2">
      <w:pPr>
        <w:spacing w:line="480" w:lineRule="auto"/>
        <w:ind w:firstLine="480" w:firstLineChars="200"/>
        <w:rPr>
          <w:rFonts w:hint="eastAsia" w:ascii="仿宋" w:hAnsi="仿宋" w:eastAsia="仿宋" w:cs="仿宋"/>
          <w:sz w:val="24"/>
          <w:highlight w:val="none"/>
        </w:rPr>
      </w:pPr>
    </w:p>
    <w:p w14:paraId="49F59FA1">
      <w:pPr>
        <w:spacing w:line="480" w:lineRule="auto"/>
        <w:ind w:firstLine="480" w:firstLineChars="200"/>
        <w:jc w:val="center"/>
        <w:rPr>
          <w:rFonts w:hint="eastAsia" w:ascii="仿宋" w:hAnsi="仿宋" w:eastAsia="仿宋" w:cs="仿宋"/>
          <w:sz w:val="24"/>
          <w:highlight w:val="none"/>
        </w:rPr>
      </w:pPr>
      <w:r>
        <w:rPr>
          <w:rFonts w:hint="eastAsia" w:ascii="仿宋" w:hAnsi="仿宋" w:eastAsia="仿宋" w:cs="仿宋"/>
          <w:sz w:val="24"/>
          <w:highlight w:val="none"/>
        </w:rPr>
        <w:t xml:space="preserve">            供应商名称（单位公章）：</w:t>
      </w:r>
    </w:p>
    <w:p w14:paraId="3DB2902A">
      <w:pPr>
        <w:spacing w:line="480" w:lineRule="auto"/>
        <w:ind w:firstLine="480" w:firstLineChars="200"/>
        <w:jc w:val="center"/>
        <w:rPr>
          <w:rFonts w:hint="eastAsia" w:ascii="仿宋" w:hAnsi="仿宋" w:eastAsia="仿宋" w:cs="仿宋"/>
          <w:sz w:val="24"/>
          <w:highlight w:val="none"/>
        </w:rPr>
      </w:pPr>
      <w:r>
        <w:rPr>
          <w:rFonts w:hint="eastAsia" w:ascii="仿宋" w:hAnsi="仿宋" w:eastAsia="仿宋" w:cs="仿宋"/>
          <w:sz w:val="24"/>
          <w:highlight w:val="none"/>
        </w:rPr>
        <w:t xml:space="preserve">                    自然人（签字）：</w:t>
      </w:r>
    </w:p>
    <w:p w14:paraId="057370EB">
      <w:pPr>
        <w:spacing w:line="480" w:lineRule="auto"/>
        <w:ind w:firstLine="480" w:firstLineChars="200"/>
        <w:jc w:val="right"/>
        <w:rPr>
          <w:rFonts w:hint="eastAsia" w:ascii="仿宋" w:hAnsi="仿宋" w:eastAsia="仿宋" w:cs="仿宋"/>
          <w:sz w:val="24"/>
          <w:highlight w:val="none"/>
        </w:rPr>
      </w:pPr>
      <w:r>
        <w:rPr>
          <w:rFonts w:hint="eastAsia" w:ascii="仿宋" w:hAnsi="仿宋" w:eastAsia="仿宋" w:cs="仿宋"/>
          <w:sz w:val="24"/>
          <w:highlight w:val="none"/>
        </w:rPr>
        <w:t>年   月   日</w:t>
      </w:r>
    </w:p>
    <w:p w14:paraId="6173070C">
      <w:pPr>
        <w:spacing w:line="480" w:lineRule="auto"/>
        <w:ind w:firstLine="480" w:firstLineChars="200"/>
        <w:rPr>
          <w:rFonts w:hint="eastAsia" w:ascii="仿宋" w:hAnsi="仿宋" w:eastAsia="仿宋" w:cs="仿宋"/>
          <w:sz w:val="24"/>
          <w:highlight w:val="none"/>
        </w:rPr>
      </w:pPr>
    </w:p>
    <w:p w14:paraId="5E39E3EB">
      <w:pPr>
        <w:spacing w:line="480" w:lineRule="auto"/>
        <w:ind w:firstLine="480" w:firstLineChars="200"/>
        <w:rPr>
          <w:rFonts w:hint="eastAsia" w:ascii="仿宋" w:hAnsi="仿宋" w:eastAsia="仿宋" w:cs="仿宋"/>
          <w:sz w:val="24"/>
          <w:highlight w:val="none"/>
        </w:rPr>
      </w:pPr>
    </w:p>
    <w:p w14:paraId="6A087429">
      <w:pPr>
        <w:spacing w:line="48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注：1.我单位（本人）专指参加政府采购活动的供应商（含自然人）</w:t>
      </w:r>
    </w:p>
    <w:p w14:paraId="06D9B718">
      <w:p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2.供应商须在投标（响应）文件中按此模板提供承诺函，否则，视为未实质性响应询价通知书要求，按无效投标（响应）处理。</w:t>
      </w:r>
    </w:p>
    <w:p w14:paraId="1BC1C9B6">
      <w:pPr>
        <w:rPr>
          <w:rFonts w:hint="eastAsia" w:ascii="仿宋" w:hAnsi="仿宋" w:eastAsia="仿宋" w:cs="仿宋"/>
          <w:b/>
          <w:bCs/>
          <w:sz w:val="24"/>
          <w:highlight w:val="none"/>
        </w:rPr>
      </w:pPr>
      <w:r>
        <w:rPr>
          <w:rFonts w:hint="eastAsia" w:ascii="仿宋" w:hAnsi="仿宋" w:eastAsia="仿宋" w:cs="仿宋"/>
          <w:b/>
          <w:bCs/>
          <w:sz w:val="24"/>
          <w:highlight w:val="none"/>
        </w:rPr>
        <w:br w:type="page"/>
      </w:r>
    </w:p>
    <w:p w14:paraId="4CB9BD6F">
      <w:pPr>
        <w:spacing w:line="480" w:lineRule="auto"/>
        <w:ind w:firstLine="482" w:firstLineChars="200"/>
        <w:rPr>
          <w:rFonts w:hint="eastAsia" w:ascii="仿宋" w:hAnsi="仿宋" w:eastAsia="仿宋" w:cs="仿宋"/>
          <w:sz w:val="24"/>
          <w:szCs w:val="32"/>
          <w:highlight w:val="none"/>
        </w:rPr>
      </w:pPr>
      <w:r>
        <w:rPr>
          <w:rFonts w:hint="eastAsia" w:ascii="仿宋" w:hAnsi="仿宋" w:eastAsia="仿宋" w:cs="仿宋"/>
          <w:b/>
          <w:bCs/>
          <w:sz w:val="24"/>
          <w:szCs w:val="32"/>
          <w:highlight w:val="none"/>
        </w:rPr>
        <w:t>说明：如供应商提供了《江西省政府采购供应商资格信用承诺函》的，视同提供了满足“《中华人民共和国政府采购法》第二十二条规定”的证明文件，未提供《江西省政府采购供应商资格信用承诺函》的，须提供下列项证明文件，证明其满足“《中华人民共和国政府采购法》第二十二条规定”。</w:t>
      </w:r>
    </w:p>
    <w:p w14:paraId="15808414">
      <w:pPr>
        <w:spacing w:line="480" w:lineRule="auto"/>
        <w:ind w:firstLine="482" w:firstLineChars="200"/>
        <w:rPr>
          <w:rFonts w:hint="eastAsia" w:ascii="仿宋" w:hAnsi="仿宋" w:eastAsia="仿宋" w:cs="仿宋"/>
          <w:b/>
          <w:bCs/>
          <w:sz w:val="24"/>
          <w:szCs w:val="32"/>
          <w:highlight w:val="none"/>
        </w:rPr>
      </w:pPr>
      <w:r>
        <w:rPr>
          <w:rFonts w:hint="eastAsia" w:ascii="仿宋" w:hAnsi="仿宋" w:eastAsia="仿宋" w:cs="仿宋"/>
          <w:b/>
          <w:bCs/>
          <w:sz w:val="24"/>
          <w:szCs w:val="32"/>
          <w:highlight w:val="none"/>
        </w:rPr>
        <w:t>1.具有独立承担民事责任的能力的资格证明文件</w:t>
      </w:r>
    </w:p>
    <w:p w14:paraId="06FB03A4">
      <w:pPr>
        <w:spacing w:line="480" w:lineRule="auto"/>
        <w:ind w:firstLine="480" w:firstLineChars="200"/>
        <w:rPr>
          <w:rFonts w:hint="eastAsia" w:ascii="仿宋" w:hAnsi="仿宋" w:eastAsia="仿宋" w:cs="仿宋"/>
          <w:sz w:val="24"/>
          <w:szCs w:val="32"/>
          <w:highlight w:val="none"/>
        </w:rPr>
      </w:pPr>
      <w:r>
        <w:rPr>
          <w:rFonts w:hint="eastAsia" w:ascii="仿宋" w:hAnsi="仿宋" w:eastAsia="仿宋" w:cs="仿宋"/>
          <w:sz w:val="24"/>
          <w:szCs w:val="32"/>
          <w:highlight w:val="none"/>
        </w:rPr>
        <w:t>如响应人是企业的（包括合伙企业）应提供有效的“企业法人营业执照”或“营业执照”；如响应人是事业单位的应提供“事业单位法人证书”；如响应人是非企业专业服务机构的应提供执业许可证等证明文件；响应人是个体工商户的应提供有效的“个体工商户营业执照”、组织机构代码证证明文件（实行“统一社会信用代码”的不需单独提供组织机构代码证）；如响应人是自然人的，应提供有效的自然人的身份证明(中国公民)。</w:t>
      </w:r>
    </w:p>
    <w:p w14:paraId="15DF1DE0">
      <w:pPr>
        <w:spacing w:line="480" w:lineRule="auto"/>
        <w:ind w:firstLine="482" w:firstLineChars="200"/>
        <w:rPr>
          <w:rFonts w:hint="eastAsia" w:ascii="仿宋" w:hAnsi="仿宋" w:eastAsia="仿宋" w:cs="仿宋"/>
          <w:b/>
          <w:bCs/>
          <w:sz w:val="24"/>
          <w:szCs w:val="32"/>
          <w:highlight w:val="none"/>
        </w:rPr>
      </w:pPr>
      <w:r>
        <w:rPr>
          <w:rFonts w:hint="eastAsia" w:ascii="仿宋" w:hAnsi="仿宋" w:eastAsia="仿宋" w:cs="仿宋"/>
          <w:b/>
          <w:bCs/>
          <w:sz w:val="24"/>
          <w:szCs w:val="32"/>
          <w:highlight w:val="none"/>
        </w:rPr>
        <w:t>2.具有良好的商业信誉和健全的财务会计制度的证明文件</w:t>
      </w:r>
    </w:p>
    <w:p w14:paraId="51C62AF4">
      <w:pPr>
        <w:spacing w:line="480" w:lineRule="auto"/>
        <w:ind w:firstLine="480" w:firstLineChars="200"/>
        <w:rPr>
          <w:rFonts w:hint="eastAsia" w:ascii="仿宋" w:hAnsi="仿宋" w:eastAsia="仿宋" w:cs="仿宋"/>
          <w:sz w:val="24"/>
          <w:szCs w:val="32"/>
          <w:highlight w:val="none"/>
        </w:rPr>
      </w:pPr>
      <w:r>
        <w:rPr>
          <w:rFonts w:hint="eastAsia" w:ascii="仿宋" w:hAnsi="仿宋" w:eastAsia="仿宋" w:cs="仿宋"/>
          <w:sz w:val="24"/>
          <w:szCs w:val="32"/>
          <w:highlight w:val="none"/>
        </w:rPr>
        <w:t>响应人是法人的，提供开标前二个年度内任一年度经审计的财务状况报告</w:t>
      </w:r>
      <w:r>
        <w:rPr>
          <w:rFonts w:hint="eastAsia" w:ascii="仿宋" w:hAnsi="仿宋" w:eastAsia="仿宋" w:cs="仿宋"/>
          <w:b/>
          <w:bCs/>
          <w:sz w:val="24"/>
          <w:szCs w:val="32"/>
          <w:highlight w:val="none"/>
        </w:rPr>
        <w:t>（至少含有资质的中介机构的营业执照、执业证书、两个签字注册会计师个人执业资格证书；资产负债表、损益表或利润表、现金流量表及简要报表附注；以上材料缺一不可）</w:t>
      </w:r>
      <w:r>
        <w:rPr>
          <w:rFonts w:hint="eastAsia" w:ascii="仿宋" w:hAnsi="仿宋" w:eastAsia="仿宋" w:cs="仿宋"/>
          <w:sz w:val="24"/>
          <w:szCs w:val="32"/>
          <w:highlight w:val="none"/>
        </w:rPr>
        <w:t>或开标前六个月内任意一个月的财务报表</w:t>
      </w:r>
      <w:r>
        <w:rPr>
          <w:rFonts w:hint="eastAsia" w:ascii="仿宋" w:hAnsi="仿宋" w:eastAsia="仿宋" w:cs="仿宋"/>
          <w:b/>
          <w:bCs/>
          <w:sz w:val="24"/>
          <w:szCs w:val="32"/>
          <w:highlight w:val="none"/>
        </w:rPr>
        <w:t>（至少含资产负债表、利润表或损益表、现金流量表）</w:t>
      </w:r>
      <w:r>
        <w:rPr>
          <w:rFonts w:hint="eastAsia" w:ascii="仿宋" w:hAnsi="仿宋" w:eastAsia="仿宋" w:cs="仿宋"/>
          <w:sz w:val="24"/>
          <w:szCs w:val="32"/>
          <w:highlight w:val="none"/>
        </w:rPr>
        <w:t>，或在开标前三个月内其基本开户银行出具的资信证明；其他组织和自然人，没有经审计的财务报告，可以提供在开标前三个月内银行出具的资信证明；个体工商户提供开标前三个月中国人民银行征信中心开具个人信用报告。</w:t>
      </w:r>
    </w:p>
    <w:p w14:paraId="78636E79">
      <w:pPr>
        <w:spacing w:line="480" w:lineRule="auto"/>
        <w:ind w:firstLine="482" w:firstLineChars="200"/>
        <w:rPr>
          <w:rFonts w:hint="eastAsia" w:ascii="仿宋" w:hAnsi="仿宋" w:eastAsia="仿宋" w:cs="仿宋"/>
          <w:sz w:val="24"/>
          <w:szCs w:val="32"/>
          <w:highlight w:val="none"/>
        </w:rPr>
      </w:pPr>
      <w:r>
        <w:rPr>
          <w:rFonts w:hint="eastAsia" w:ascii="仿宋" w:hAnsi="仿宋" w:eastAsia="仿宋" w:cs="仿宋"/>
          <w:b/>
          <w:bCs/>
          <w:sz w:val="24"/>
          <w:szCs w:val="32"/>
          <w:highlight w:val="none"/>
        </w:rPr>
        <w:t>3.具有履行合同所必需的设备和专业技术能力的证明文件</w:t>
      </w:r>
    </w:p>
    <w:p w14:paraId="59DAD35B">
      <w:pPr>
        <w:spacing w:line="480" w:lineRule="auto"/>
        <w:ind w:firstLine="480" w:firstLineChars="200"/>
        <w:rPr>
          <w:rFonts w:hint="eastAsia" w:ascii="仿宋" w:hAnsi="仿宋" w:eastAsia="仿宋" w:cs="仿宋"/>
          <w:sz w:val="24"/>
          <w:szCs w:val="32"/>
          <w:highlight w:val="none"/>
        </w:rPr>
      </w:pPr>
      <w:r>
        <w:rPr>
          <w:rFonts w:hint="eastAsia" w:ascii="仿宋" w:hAnsi="仿宋" w:eastAsia="仿宋" w:cs="仿宋"/>
          <w:sz w:val="24"/>
          <w:szCs w:val="32"/>
          <w:highlight w:val="none"/>
        </w:rPr>
        <w:t>响应人提供具有履行合同所必需的设备和专业技术能力的承诺函。</w:t>
      </w:r>
    </w:p>
    <w:p w14:paraId="2D670677">
      <w:pPr>
        <w:spacing w:line="480" w:lineRule="auto"/>
        <w:ind w:firstLine="482" w:firstLineChars="200"/>
        <w:rPr>
          <w:rFonts w:hint="eastAsia" w:ascii="仿宋" w:hAnsi="仿宋" w:eastAsia="仿宋" w:cs="仿宋"/>
          <w:sz w:val="24"/>
          <w:szCs w:val="32"/>
          <w:highlight w:val="none"/>
        </w:rPr>
      </w:pPr>
      <w:r>
        <w:rPr>
          <w:rFonts w:hint="eastAsia" w:ascii="仿宋" w:hAnsi="仿宋" w:eastAsia="仿宋" w:cs="仿宋"/>
          <w:b/>
          <w:bCs/>
          <w:sz w:val="24"/>
          <w:szCs w:val="32"/>
          <w:highlight w:val="none"/>
        </w:rPr>
        <w:t>4.有依法缴纳税收和社会保障资金的良好记录的证明文件</w:t>
      </w:r>
    </w:p>
    <w:p w14:paraId="5207EEC8">
      <w:pPr>
        <w:spacing w:line="480" w:lineRule="auto"/>
        <w:ind w:firstLine="480" w:firstLineChars="200"/>
        <w:rPr>
          <w:rFonts w:hint="eastAsia" w:ascii="仿宋" w:hAnsi="仿宋" w:eastAsia="仿宋" w:cs="仿宋"/>
          <w:sz w:val="24"/>
          <w:szCs w:val="32"/>
          <w:highlight w:val="none"/>
        </w:rPr>
      </w:pPr>
      <w:r>
        <w:rPr>
          <w:rFonts w:hint="eastAsia" w:ascii="仿宋" w:hAnsi="仿宋" w:eastAsia="仿宋" w:cs="仿宋"/>
          <w:sz w:val="24"/>
          <w:szCs w:val="32"/>
          <w:highlight w:val="none"/>
        </w:rPr>
        <w:t>税务登记证（实行“统一社会信用代码”的不需单独提供）和开标前六个月内任意一个月的企业缴税凭证或证明；</w:t>
      </w:r>
      <w:r>
        <w:rPr>
          <w:rFonts w:hint="eastAsia" w:ascii="仿宋" w:hAnsi="仿宋" w:eastAsia="仿宋" w:cs="仿宋"/>
          <w:b/>
          <w:bCs/>
          <w:sz w:val="24"/>
          <w:szCs w:val="32"/>
          <w:highlight w:val="none"/>
        </w:rPr>
        <w:t>（提供完税证明、涉税保密信息自查证明或其他有效证明，以上任意一种均可）</w:t>
      </w:r>
    </w:p>
    <w:p w14:paraId="4D516832">
      <w:pPr>
        <w:spacing w:line="480" w:lineRule="auto"/>
        <w:ind w:firstLine="480" w:firstLineChars="200"/>
        <w:rPr>
          <w:rFonts w:hint="eastAsia" w:ascii="仿宋" w:hAnsi="仿宋" w:eastAsia="仿宋" w:cs="仿宋"/>
          <w:sz w:val="24"/>
          <w:szCs w:val="32"/>
          <w:highlight w:val="none"/>
        </w:rPr>
      </w:pPr>
      <w:r>
        <w:rPr>
          <w:rFonts w:hint="eastAsia" w:ascii="仿宋" w:hAnsi="仿宋" w:eastAsia="仿宋" w:cs="仿宋"/>
          <w:sz w:val="24"/>
          <w:szCs w:val="32"/>
          <w:highlight w:val="none"/>
        </w:rPr>
        <w:t>开标前六个月内任意一个月的缴纳社会保障资金的凭证或当地社会保障局出具的缴纳明细。依法免税或不需要缴纳社会保障资金的响应人，应当提供相关文件证明其依法免税或不需要缴纳社会保障资金。</w:t>
      </w:r>
      <w:r>
        <w:rPr>
          <w:rFonts w:hint="eastAsia" w:ascii="仿宋" w:hAnsi="仿宋" w:eastAsia="仿宋" w:cs="仿宋"/>
          <w:b/>
          <w:bCs/>
          <w:sz w:val="24"/>
          <w:szCs w:val="32"/>
          <w:highlight w:val="none"/>
        </w:rPr>
        <w:t>（提供单位职工缴费信息、个人对账单、社保局开具的收据或其他有效证明，以上任意一种均可）</w:t>
      </w:r>
    </w:p>
    <w:p w14:paraId="2E31AEBE">
      <w:pPr>
        <w:spacing w:line="480" w:lineRule="auto"/>
        <w:ind w:firstLine="482" w:firstLineChars="200"/>
        <w:rPr>
          <w:rFonts w:hint="eastAsia" w:ascii="仿宋" w:hAnsi="仿宋" w:eastAsia="仿宋" w:cs="仿宋"/>
          <w:sz w:val="24"/>
          <w:szCs w:val="32"/>
          <w:highlight w:val="none"/>
        </w:rPr>
      </w:pPr>
      <w:r>
        <w:rPr>
          <w:rFonts w:hint="eastAsia" w:ascii="仿宋" w:hAnsi="仿宋" w:eastAsia="仿宋" w:cs="仿宋"/>
          <w:b/>
          <w:bCs/>
          <w:sz w:val="24"/>
          <w:szCs w:val="32"/>
          <w:highlight w:val="none"/>
        </w:rPr>
        <w:t>5.参加政府采购活动前三年内，在经营活动中没有重大违法记录的证明文件</w:t>
      </w:r>
    </w:p>
    <w:p w14:paraId="023B7144">
      <w:pPr>
        <w:spacing w:line="480" w:lineRule="auto"/>
        <w:ind w:firstLine="480" w:firstLineChars="200"/>
        <w:rPr>
          <w:rFonts w:hint="eastAsia" w:ascii="仿宋" w:hAnsi="仿宋" w:eastAsia="仿宋" w:cs="仿宋"/>
          <w:sz w:val="24"/>
          <w:szCs w:val="32"/>
          <w:highlight w:val="none"/>
        </w:rPr>
      </w:pPr>
      <w:r>
        <w:rPr>
          <w:rFonts w:hint="eastAsia" w:ascii="仿宋" w:hAnsi="仿宋" w:eastAsia="仿宋" w:cs="仿宋"/>
          <w:sz w:val="24"/>
          <w:szCs w:val="32"/>
          <w:highlight w:val="none"/>
        </w:rPr>
        <w:t>参加政府采购前三年内,在经营活动中没有重大违法记录承诺函；重大违法记录，是指响应人因违法经营受到刑事处罚或者责令停产停业、吊销许可证或者执照、较大罚款等行政处罚。</w:t>
      </w:r>
    </w:p>
    <w:p w14:paraId="5D4CCE20">
      <w:pPr>
        <w:spacing w:line="480" w:lineRule="auto"/>
        <w:ind w:firstLine="482" w:firstLineChars="200"/>
        <w:rPr>
          <w:rFonts w:hint="eastAsia" w:ascii="仿宋" w:hAnsi="仿宋" w:eastAsia="仿宋" w:cs="仿宋"/>
          <w:sz w:val="24"/>
          <w:szCs w:val="32"/>
          <w:highlight w:val="none"/>
        </w:rPr>
      </w:pPr>
      <w:r>
        <w:rPr>
          <w:rFonts w:hint="eastAsia" w:ascii="仿宋" w:hAnsi="仿宋" w:eastAsia="仿宋" w:cs="仿宋"/>
          <w:b/>
          <w:bCs/>
          <w:sz w:val="24"/>
          <w:szCs w:val="32"/>
          <w:highlight w:val="none"/>
        </w:rPr>
        <w:t>6.法律、行政法规规定的其他条件的证明文件</w:t>
      </w:r>
    </w:p>
    <w:p w14:paraId="6B6733DB">
      <w:pPr>
        <w:spacing w:line="480" w:lineRule="auto"/>
        <w:ind w:firstLine="480" w:firstLineChars="200"/>
        <w:rPr>
          <w:rFonts w:hint="eastAsia" w:ascii="仿宋" w:hAnsi="仿宋" w:eastAsia="仿宋" w:cs="仿宋"/>
          <w:sz w:val="24"/>
          <w:szCs w:val="32"/>
          <w:highlight w:val="none"/>
        </w:rPr>
      </w:pPr>
      <w:r>
        <w:rPr>
          <w:rFonts w:hint="eastAsia" w:ascii="仿宋" w:hAnsi="仿宋" w:eastAsia="仿宋" w:cs="仿宋"/>
          <w:sz w:val="24"/>
          <w:szCs w:val="32"/>
          <w:highlight w:val="none"/>
        </w:rPr>
        <w:t>提供材料说明：提供满足法律、行政法规规定的其他条件的承诺函（格式自拟）。</w:t>
      </w:r>
    </w:p>
    <w:p w14:paraId="1C4E200C">
      <w:pPr>
        <w:pStyle w:val="15"/>
        <w:ind w:firstLine="482" w:firstLineChars="200"/>
        <w:rPr>
          <w:rFonts w:hint="eastAsia" w:ascii="仿宋" w:hAnsi="仿宋" w:eastAsia="仿宋" w:cs="仿宋"/>
          <w:highlight w:val="none"/>
        </w:rPr>
      </w:pPr>
      <w:r>
        <w:rPr>
          <w:rFonts w:hint="eastAsia" w:ascii="仿宋" w:hAnsi="仿宋" w:eastAsia="仿宋" w:cs="仿宋"/>
          <w:b/>
          <w:bCs/>
          <w:szCs w:val="32"/>
          <w:highlight w:val="none"/>
        </w:rPr>
        <w:t>备注：本项目对特定资格要求有规定并需要提供证明材料的，从其规定，与本条款不冲突。</w:t>
      </w:r>
    </w:p>
    <w:p w14:paraId="37C65632">
      <w:pPr>
        <w:rPr>
          <w:rFonts w:hint="eastAsia" w:ascii="仿宋" w:hAnsi="仿宋" w:eastAsia="仿宋" w:cs="仿宋"/>
          <w:sz w:val="24"/>
          <w:highlight w:val="none"/>
          <w:u w:val="single"/>
        </w:rPr>
      </w:pPr>
      <w:r>
        <w:rPr>
          <w:rFonts w:hint="eastAsia" w:ascii="仿宋" w:hAnsi="仿宋" w:eastAsia="仿宋" w:cs="仿宋"/>
          <w:sz w:val="24"/>
          <w:highlight w:val="none"/>
        </w:rPr>
        <w:br w:type="page"/>
      </w:r>
    </w:p>
    <w:p w14:paraId="56E3DF0C">
      <w:pPr>
        <w:jc w:val="center"/>
        <w:rPr>
          <w:rFonts w:hint="eastAsia" w:ascii="仿宋" w:hAnsi="仿宋" w:eastAsia="仿宋" w:cs="仿宋"/>
          <w:highlight w:val="none"/>
        </w:rPr>
      </w:pPr>
      <w:r>
        <w:rPr>
          <w:rFonts w:hint="eastAsia" w:ascii="仿宋" w:hAnsi="仿宋" w:eastAsia="仿宋" w:cs="仿宋"/>
          <w:b/>
          <w:bCs/>
          <w:sz w:val="24"/>
          <w:highlight w:val="none"/>
        </w:rPr>
        <w:t>12-2. 法定代表人（或经营者）授权书</w:t>
      </w:r>
    </w:p>
    <w:p w14:paraId="3096B9E2">
      <w:pPr>
        <w:spacing w:line="360" w:lineRule="auto"/>
        <w:rPr>
          <w:rFonts w:hint="eastAsia" w:ascii="仿宋" w:hAnsi="仿宋" w:eastAsia="仿宋" w:cs="仿宋"/>
          <w:sz w:val="24"/>
          <w:highlight w:val="none"/>
        </w:rPr>
      </w:pPr>
    </w:p>
    <w:p w14:paraId="046DEEDC">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（注：自然人必须本人参与询价活动，本项目关于授权参与询价活动的均不适用）</w:t>
      </w:r>
    </w:p>
    <w:p w14:paraId="77C9A40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致：江西企恒企业管理有限公司</w:t>
      </w:r>
    </w:p>
    <w:p w14:paraId="2E37117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（供应商全称）法定代表人（或经营者）</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授权（全权代表姓名）为全权代表,参加贵方组织的</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（项目编号）项目询价采购活动，全权代表我方处理询价采购活动中的一切事宜。</w:t>
      </w:r>
    </w:p>
    <w:p w14:paraId="3D9ED4EF">
      <w:pPr>
        <w:spacing w:line="360" w:lineRule="auto"/>
        <w:ind w:firstLine="480" w:firstLineChars="200"/>
        <w:rPr>
          <w:rFonts w:hint="eastAsia" w:ascii="仿宋" w:hAnsi="仿宋" w:eastAsia="仿宋" w:cs="仿宋"/>
          <w:sz w:val="24"/>
          <w:highlight w:val="none"/>
        </w:rPr>
      </w:pPr>
    </w:p>
    <w:p w14:paraId="6D389EAF">
      <w:pPr>
        <w:spacing w:line="36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法定代表人（或经营者）签字或盖章：</w:t>
      </w:r>
      <w:r>
        <w:rPr>
          <w:rFonts w:hint="eastAsia" w:ascii="仿宋" w:hAnsi="仿宋" w:eastAsia="仿宋" w:cs="仿宋"/>
          <w:sz w:val="24"/>
          <w:highlight w:val="none"/>
          <w:u w:val="single"/>
        </w:rPr>
        <w:t xml:space="preserve">                      </w:t>
      </w:r>
    </w:p>
    <w:p w14:paraId="7D3FE1FE">
      <w:pPr>
        <w:spacing w:line="360" w:lineRule="auto"/>
        <w:ind w:firstLine="480" w:firstLineChars="200"/>
        <w:rPr>
          <w:rFonts w:hint="eastAsia" w:ascii="仿宋" w:hAnsi="仿宋" w:eastAsia="仿宋" w:cs="仿宋"/>
          <w:sz w:val="24"/>
          <w:highlight w:val="none"/>
        </w:rPr>
      </w:pPr>
    </w:p>
    <w:p w14:paraId="122CB3F5">
      <w:pPr>
        <w:spacing w:line="36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供应商全称（公章）：</w:t>
      </w:r>
      <w:r>
        <w:rPr>
          <w:rFonts w:hint="eastAsia" w:ascii="仿宋" w:hAnsi="仿宋" w:eastAsia="仿宋" w:cs="仿宋"/>
          <w:sz w:val="24"/>
          <w:highlight w:val="none"/>
          <w:u w:val="single"/>
        </w:rPr>
        <w:t xml:space="preserve">                   </w:t>
      </w:r>
    </w:p>
    <w:p w14:paraId="35483FC4">
      <w:pPr>
        <w:pStyle w:val="19"/>
        <w:ind w:firstLine="480"/>
        <w:rPr>
          <w:rFonts w:hint="eastAsia" w:ascii="仿宋" w:hAnsi="仿宋" w:eastAsia="仿宋" w:cs="仿宋"/>
          <w:highlight w:val="none"/>
        </w:rPr>
      </w:pPr>
    </w:p>
    <w:p w14:paraId="539D11AB">
      <w:pPr>
        <w:spacing w:line="36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日  期：</w:t>
      </w:r>
      <w:r>
        <w:rPr>
          <w:rFonts w:hint="eastAsia" w:ascii="仿宋" w:hAnsi="仿宋" w:eastAsia="仿宋" w:cs="仿宋"/>
          <w:sz w:val="24"/>
          <w:highlight w:val="none"/>
          <w:u w:val="single"/>
        </w:rPr>
        <w:t xml:space="preserve">                     </w:t>
      </w:r>
    </w:p>
    <w:p w14:paraId="2C0A966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附：</w:t>
      </w:r>
    </w:p>
    <w:p w14:paraId="5007C29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全权代表姓名：</w:t>
      </w:r>
      <w:r>
        <w:rPr>
          <w:rFonts w:hint="eastAsia" w:ascii="仿宋" w:hAnsi="仿宋" w:eastAsia="仿宋" w:cs="仿宋"/>
          <w:sz w:val="24"/>
          <w:highlight w:val="none"/>
          <w:u w:val="single"/>
        </w:rPr>
        <w:t xml:space="preserve">            </w:t>
      </w:r>
    </w:p>
    <w:p w14:paraId="241526E0">
      <w:pPr>
        <w:spacing w:line="36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职        务：</w:t>
      </w:r>
      <w:r>
        <w:rPr>
          <w:rFonts w:hint="eastAsia" w:ascii="仿宋" w:hAnsi="仿宋" w:eastAsia="仿宋" w:cs="仿宋"/>
          <w:sz w:val="24"/>
          <w:highlight w:val="none"/>
          <w:u w:val="single"/>
        </w:rPr>
        <w:t xml:space="preserve">            </w:t>
      </w:r>
    </w:p>
    <w:p w14:paraId="702B621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电        话：</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 xml:space="preserve">                   </w:t>
      </w:r>
    </w:p>
    <w:p w14:paraId="3BBB99E6">
      <w:pPr>
        <w:spacing w:line="36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详细通讯地址：</w:t>
      </w:r>
      <w:r>
        <w:rPr>
          <w:rFonts w:hint="eastAsia" w:ascii="仿宋" w:hAnsi="仿宋" w:eastAsia="仿宋" w:cs="仿宋"/>
          <w:sz w:val="24"/>
          <w:highlight w:val="none"/>
          <w:u w:val="single"/>
        </w:rPr>
        <w:t xml:space="preserve">            </w:t>
      </w:r>
    </w:p>
    <w:p w14:paraId="0436EBCA">
      <w:pPr>
        <w:spacing w:line="36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邮 政 编 码 ：</w:t>
      </w:r>
      <w:r>
        <w:rPr>
          <w:rFonts w:hint="eastAsia" w:ascii="仿宋" w:hAnsi="仿宋" w:eastAsia="仿宋" w:cs="仿宋"/>
          <w:sz w:val="24"/>
          <w:highlight w:val="none"/>
          <w:u w:val="single"/>
        </w:rPr>
        <w:t xml:space="preserve">            </w:t>
      </w:r>
    </w:p>
    <w:p w14:paraId="4F80FD30">
      <w:pPr>
        <w:spacing w:line="360" w:lineRule="auto"/>
        <w:ind w:firstLine="480" w:firstLineChars="200"/>
        <w:rPr>
          <w:rFonts w:hint="eastAsia" w:ascii="仿宋" w:hAnsi="仿宋" w:eastAsia="仿宋" w:cs="仿宋"/>
          <w:sz w:val="24"/>
          <w:highlight w:val="none"/>
        </w:rPr>
      </w:pPr>
    </w:p>
    <w:p w14:paraId="55E7D451">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附：法定代表人或全权代表身份证复印件正反面</w:t>
      </w:r>
      <w:r>
        <w:rPr>
          <w:rFonts w:hint="eastAsia" w:ascii="仿宋" w:hAnsi="仿宋" w:eastAsia="仿宋" w:cs="仿宋"/>
          <w:sz w:val="24"/>
          <w:highlight w:val="none"/>
        </w:rPr>
        <w:t>【法定代表人（或经营者）参加采购，不用提供授权书】</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9D6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4" w:hRule="atLeast"/>
        </w:trPr>
        <w:tc>
          <w:tcPr>
            <w:tcW w:w="8522" w:type="dxa"/>
          </w:tcPr>
          <w:p w14:paraId="4864421B">
            <w:pPr>
              <w:rPr>
                <w:rFonts w:hint="eastAsia" w:ascii="仿宋" w:hAnsi="仿宋" w:eastAsia="仿宋" w:cs="仿宋"/>
                <w:highlight w:val="none"/>
              </w:rPr>
            </w:pPr>
          </w:p>
        </w:tc>
      </w:tr>
    </w:tbl>
    <w:p w14:paraId="408B0754">
      <w:pPr>
        <w:rPr>
          <w:rFonts w:hint="eastAsia" w:ascii="仿宋" w:hAnsi="仿宋" w:eastAsia="仿宋" w:cs="仿宋"/>
          <w:highlight w:val="none"/>
        </w:rPr>
      </w:pPr>
      <w:r>
        <w:rPr>
          <w:rFonts w:hint="eastAsia" w:ascii="仿宋" w:hAnsi="仿宋" w:eastAsia="仿宋" w:cs="仿宋"/>
          <w:highlight w:val="none"/>
        </w:rPr>
        <w:br w:type="page"/>
      </w:r>
    </w:p>
    <w:p w14:paraId="765FF241">
      <w:pPr>
        <w:pStyle w:val="3"/>
        <w:rPr>
          <w:rFonts w:hint="eastAsia" w:ascii="仿宋" w:hAnsi="仿宋" w:eastAsia="仿宋" w:cs="仿宋"/>
          <w:highlight w:val="none"/>
        </w:rPr>
      </w:pPr>
      <w:bookmarkStart w:id="277" w:name="_Toc26701"/>
      <w:bookmarkStart w:id="278" w:name="_Toc15283"/>
      <w:bookmarkStart w:id="279" w:name="_Toc2432"/>
      <w:r>
        <w:rPr>
          <w:rFonts w:hint="eastAsia" w:ascii="仿宋" w:hAnsi="仿宋" w:eastAsia="仿宋" w:cs="仿宋"/>
          <w:sz w:val="32"/>
          <w:szCs w:val="32"/>
          <w:highlight w:val="none"/>
        </w:rPr>
        <w:t>第五章　采购需求一览表及采购要求</w:t>
      </w:r>
      <w:bookmarkEnd w:id="277"/>
      <w:bookmarkEnd w:id="278"/>
      <w:bookmarkEnd w:id="279"/>
    </w:p>
    <w:p w14:paraId="08CF62C3">
      <w:pPr>
        <w:jc w:val="center"/>
        <w:rPr>
          <w:rFonts w:hint="eastAsia" w:ascii="仿宋" w:hAnsi="仿宋" w:eastAsia="仿宋" w:cs="仿宋"/>
          <w:b/>
          <w:bCs/>
          <w:sz w:val="28"/>
          <w:szCs w:val="28"/>
          <w:highlight w:val="none"/>
        </w:rPr>
      </w:pPr>
      <w:bookmarkStart w:id="280" w:name="_Toc26046"/>
      <w:bookmarkStart w:id="281" w:name="_Toc475970901"/>
      <w:bookmarkStart w:id="282" w:name="_Toc23362"/>
      <w:bookmarkStart w:id="283" w:name="_Toc28429"/>
    </w:p>
    <w:p w14:paraId="3B905681">
      <w:pPr>
        <w:pStyle w:val="4"/>
        <w:jc w:val="center"/>
        <w:rPr>
          <w:rFonts w:hint="eastAsia" w:ascii="仿宋" w:hAnsi="仿宋" w:eastAsia="仿宋" w:cs="仿宋"/>
          <w:szCs w:val="28"/>
          <w:highlight w:val="none"/>
        </w:rPr>
      </w:pPr>
      <w:bookmarkStart w:id="284" w:name="_Toc12144"/>
      <w:bookmarkStart w:id="285" w:name="_Toc29014"/>
      <w:bookmarkStart w:id="286" w:name="_Toc31207"/>
      <w:r>
        <w:rPr>
          <w:rFonts w:hint="eastAsia" w:ascii="仿宋" w:hAnsi="仿宋" w:eastAsia="仿宋" w:cs="仿宋"/>
          <w:sz w:val="30"/>
          <w:szCs w:val="30"/>
          <w:highlight w:val="none"/>
        </w:rPr>
        <w:t>一、采购需求一览表</w:t>
      </w:r>
      <w:bookmarkEnd w:id="280"/>
      <w:bookmarkEnd w:id="281"/>
      <w:bookmarkEnd w:id="282"/>
      <w:bookmarkEnd w:id="283"/>
      <w:bookmarkEnd w:id="284"/>
      <w:bookmarkEnd w:id="285"/>
      <w:bookmarkEnd w:id="286"/>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2"/>
        <w:gridCol w:w="5780"/>
      </w:tblGrid>
      <w:tr w14:paraId="4AF1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trPr>
        <w:tc>
          <w:tcPr>
            <w:tcW w:w="2742" w:type="dxa"/>
          </w:tcPr>
          <w:p w14:paraId="291B9F51">
            <w:pPr>
              <w:snapToGrid w:val="0"/>
              <w:jc w:val="left"/>
              <w:rPr>
                <w:rFonts w:hint="eastAsia" w:ascii="仿宋" w:hAnsi="仿宋" w:eastAsia="仿宋" w:cs="仿宋"/>
                <w:sz w:val="24"/>
                <w:highlight w:val="none"/>
              </w:rPr>
            </w:pPr>
          </w:p>
          <w:p w14:paraId="57C8F18D">
            <w:pPr>
              <w:snapToGrid w:val="0"/>
              <w:jc w:val="left"/>
              <w:rPr>
                <w:rFonts w:hint="eastAsia" w:ascii="仿宋" w:hAnsi="仿宋" w:eastAsia="仿宋" w:cs="仿宋"/>
                <w:sz w:val="24"/>
                <w:highlight w:val="none"/>
              </w:rPr>
            </w:pPr>
          </w:p>
          <w:p w14:paraId="57CFAE75">
            <w:pPr>
              <w:snapToGrid w:val="0"/>
              <w:jc w:val="left"/>
              <w:rPr>
                <w:rFonts w:hint="eastAsia" w:ascii="仿宋" w:hAnsi="仿宋" w:eastAsia="仿宋" w:cs="仿宋"/>
                <w:sz w:val="24"/>
                <w:highlight w:val="none"/>
              </w:rPr>
            </w:pPr>
          </w:p>
          <w:p w14:paraId="25AC55F0">
            <w:pPr>
              <w:snapToGrid w:val="0"/>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内</w:t>
            </w:r>
          </w:p>
          <w:p w14:paraId="6BEDE5CB">
            <w:pPr>
              <w:snapToGrid w:val="0"/>
              <w:ind w:firstLine="720" w:firstLineChars="300"/>
              <w:jc w:val="left"/>
              <w:rPr>
                <w:rFonts w:hint="eastAsia" w:ascii="仿宋" w:hAnsi="仿宋" w:eastAsia="仿宋" w:cs="仿宋"/>
                <w:sz w:val="24"/>
                <w:highlight w:val="none"/>
              </w:rPr>
            </w:pPr>
          </w:p>
          <w:p w14:paraId="2766B115">
            <w:pPr>
              <w:snapToGrid w:val="0"/>
              <w:ind w:firstLine="960" w:firstLineChars="400"/>
              <w:jc w:val="left"/>
              <w:rPr>
                <w:rFonts w:hint="eastAsia" w:ascii="仿宋" w:hAnsi="仿宋" w:eastAsia="仿宋" w:cs="仿宋"/>
                <w:sz w:val="24"/>
                <w:highlight w:val="none"/>
              </w:rPr>
            </w:pPr>
            <w:r>
              <w:rPr>
                <w:rFonts w:hint="eastAsia" w:ascii="仿宋" w:hAnsi="仿宋" w:eastAsia="仿宋" w:cs="仿宋"/>
                <w:sz w:val="24"/>
                <w:highlight w:val="none"/>
              </w:rPr>
              <w:t>容</w:t>
            </w:r>
          </w:p>
          <w:p w14:paraId="415A3A1B">
            <w:pPr>
              <w:ind w:firstLine="480" w:firstLineChars="200"/>
              <w:rPr>
                <w:rFonts w:hint="eastAsia" w:ascii="仿宋" w:hAnsi="仿宋" w:eastAsia="仿宋" w:cs="仿宋"/>
                <w:sz w:val="24"/>
                <w:highlight w:val="none"/>
              </w:rPr>
            </w:pPr>
          </w:p>
          <w:p w14:paraId="0DE54BDC">
            <w:pPr>
              <w:ind w:firstLine="480" w:firstLineChars="200"/>
              <w:rPr>
                <w:rFonts w:hint="eastAsia" w:ascii="仿宋" w:hAnsi="仿宋" w:eastAsia="仿宋" w:cs="仿宋"/>
                <w:sz w:val="24"/>
                <w:highlight w:val="none"/>
              </w:rPr>
            </w:pPr>
            <w:r>
              <w:rPr>
                <w:rFonts w:hint="eastAsia" w:ascii="仿宋" w:hAnsi="仿宋" w:eastAsia="仿宋" w:cs="仿宋"/>
                <w:sz w:val="24"/>
                <w:highlight w:val="none"/>
              </w:rPr>
              <w:t>货</w:t>
            </w:r>
          </w:p>
          <w:p w14:paraId="737974EE">
            <w:pPr>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物</w:t>
            </w:r>
          </w:p>
          <w:p w14:paraId="6D0AC97D">
            <w:pPr>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名</w:t>
            </w:r>
          </w:p>
          <w:p w14:paraId="3D4DA5B4">
            <w:pPr>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称</w:t>
            </w:r>
          </w:p>
        </w:tc>
        <w:tc>
          <w:tcPr>
            <w:tcW w:w="5780" w:type="dxa"/>
            <w:vAlign w:val="center"/>
          </w:tcPr>
          <w:p w14:paraId="673F9F44">
            <w:pPr>
              <w:jc w:val="center"/>
              <w:rPr>
                <w:rFonts w:hint="eastAsia" w:ascii="仿宋" w:hAnsi="仿宋" w:eastAsia="仿宋" w:cs="仿宋"/>
                <w:sz w:val="24"/>
                <w:highlight w:val="none"/>
              </w:rPr>
            </w:pPr>
            <w:r>
              <w:rPr>
                <w:rFonts w:hint="eastAsia" w:ascii="仿宋" w:hAnsi="仿宋" w:eastAsia="仿宋" w:cs="仿宋"/>
                <w:sz w:val="24"/>
                <w:highlight w:val="none"/>
              </w:rPr>
              <w:t>吉安职业技术学院计算机网络实训室设备采购项目</w:t>
            </w:r>
          </w:p>
        </w:tc>
      </w:tr>
      <w:tr w14:paraId="3B21C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2742" w:type="dxa"/>
            <w:vAlign w:val="center"/>
          </w:tcPr>
          <w:p w14:paraId="2F25A0DE">
            <w:pPr>
              <w:jc w:val="center"/>
              <w:rPr>
                <w:rFonts w:hint="eastAsia" w:ascii="仿宋" w:hAnsi="仿宋" w:eastAsia="仿宋" w:cs="仿宋"/>
                <w:sz w:val="24"/>
                <w:highlight w:val="none"/>
              </w:rPr>
            </w:pPr>
            <w:r>
              <w:rPr>
                <w:rFonts w:hint="eastAsia" w:ascii="仿宋" w:hAnsi="仿宋" w:eastAsia="仿宋" w:cs="仿宋"/>
                <w:sz w:val="24"/>
                <w:highlight w:val="none"/>
              </w:rPr>
              <w:t>数 量</w:t>
            </w:r>
          </w:p>
        </w:tc>
        <w:tc>
          <w:tcPr>
            <w:tcW w:w="5780" w:type="dxa"/>
            <w:vAlign w:val="center"/>
          </w:tcPr>
          <w:p w14:paraId="589665A5">
            <w:pPr>
              <w:jc w:val="center"/>
              <w:rPr>
                <w:rFonts w:hint="eastAsia" w:ascii="仿宋" w:hAnsi="仿宋" w:eastAsia="仿宋" w:cs="仿宋"/>
                <w:sz w:val="24"/>
                <w:highlight w:val="none"/>
              </w:rPr>
            </w:pPr>
            <w:r>
              <w:rPr>
                <w:rFonts w:hint="eastAsia" w:ascii="仿宋" w:hAnsi="仿宋" w:eastAsia="仿宋" w:cs="仿宋"/>
                <w:sz w:val="24"/>
                <w:highlight w:val="none"/>
              </w:rPr>
              <w:t>1批</w:t>
            </w:r>
          </w:p>
        </w:tc>
      </w:tr>
      <w:tr w14:paraId="74A3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2742" w:type="dxa"/>
            <w:vAlign w:val="center"/>
          </w:tcPr>
          <w:p w14:paraId="013298F6">
            <w:pPr>
              <w:jc w:val="center"/>
              <w:rPr>
                <w:rFonts w:hint="eastAsia" w:ascii="仿宋" w:hAnsi="仿宋" w:eastAsia="仿宋" w:cs="仿宋"/>
                <w:sz w:val="24"/>
                <w:highlight w:val="none"/>
              </w:rPr>
            </w:pPr>
            <w:r>
              <w:rPr>
                <w:rFonts w:hint="eastAsia" w:ascii="仿宋" w:hAnsi="仿宋" w:eastAsia="仿宋" w:cs="仿宋"/>
                <w:sz w:val="24"/>
                <w:highlight w:val="none"/>
              </w:rPr>
              <w:t>交货期</w:t>
            </w:r>
          </w:p>
        </w:tc>
        <w:tc>
          <w:tcPr>
            <w:tcW w:w="5780" w:type="dxa"/>
            <w:vAlign w:val="center"/>
          </w:tcPr>
          <w:p w14:paraId="2B329517">
            <w:pPr>
              <w:spacing w:line="360" w:lineRule="auto"/>
              <w:jc w:val="center"/>
              <w:rPr>
                <w:rFonts w:hint="eastAsia" w:ascii="仿宋" w:hAnsi="仿宋" w:eastAsia="仿宋" w:cs="仿宋"/>
                <w:sz w:val="24"/>
                <w:highlight w:val="none"/>
              </w:rPr>
            </w:pPr>
            <w:r>
              <w:rPr>
                <w:rFonts w:hint="eastAsia" w:ascii="仿宋" w:hAnsi="仿宋" w:eastAsia="仿宋" w:cs="仿宋"/>
                <w:color w:val="FF0000"/>
                <w:sz w:val="24"/>
                <w:highlight w:val="none"/>
              </w:rPr>
              <w:t>合同签订后30个日历天内完成全部设备供货、安装、调试并交付使用。</w:t>
            </w:r>
          </w:p>
        </w:tc>
      </w:tr>
      <w:tr w14:paraId="2E69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2742" w:type="dxa"/>
            <w:vAlign w:val="center"/>
          </w:tcPr>
          <w:p w14:paraId="7EB83C98">
            <w:pPr>
              <w:jc w:val="center"/>
              <w:rPr>
                <w:rFonts w:hint="eastAsia" w:ascii="仿宋" w:hAnsi="仿宋" w:eastAsia="仿宋" w:cs="仿宋"/>
                <w:sz w:val="24"/>
                <w:highlight w:val="none"/>
              </w:rPr>
            </w:pPr>
            <w:r>
              <w:rPr>
                <w:rFonts w:hint="eastAsia" w:ascii="仿宋" w:hAnsi="仿宋" w:eastAsia="仿宋" w:cs="仿宋"/>
                <w:sz w:val="24"/>
                <w:highlight w:val="none"/>
              </w:rPr>
              <w:t>交货地点</w:t>
            </w:r>
          </w:p>
        </w:tc>
        <w:tc>
          <w:tcPr>
            <w:tcW w:w="5780" w:type="dxa"/>
            <w:vAlign w:val="center"/>
          </w:tcPr>
          <w:p w14:paraId="0EA647A0">
            <w:pPr>
              <w:jc w:val="center"/>
              <w:rPr>
                <w:rFonts w:hint="eastAsia" w:ascii="仿宋" w:hAnsi="仿宋" w:eastAsia="仿宋" w:cs="仿宋"/>
                <w:sz w:val="24"/>
                <w:highlight w:val="none"/>
              </w:rPr>
            </w:pPr>
            <w:r>
              <w:rPr>
                <w:rFonts w:hint="eastAsia" w:ascii="仿宋" w:hAnsi="仿宋" w:eastAsia="仿宋" w:cs="仿宋"/>
                <w:sz w:val="24"/>
                <w:highlight w:val="none"/>
              </w:rPr>
              <w:t>采购人指定地点（吉安职业技术学院计算机网络实训室）</w:t>
            </w:r>
          </w:p>
        </w:tc>
      </w:tr>
      <w:tr w14:paraId="7C83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2742" w:type="dxa"/>
            <w:vAlign w:val="center"/>
          </w:tcPr>
          <w:p w14:paraId="1E61E50E">
            <w:pPr>
              <w:jc w:val="center"/>
              <w:rPr>
                <w:rFonts w:hint="eastAsia" w:ascii="仿宋" w:hAnsi="仿宋" w:eastAsia="仿宋" w:cs="仿宋"/>
                <w:sz w:val="24"/>
                <w:highlight w:val="none"/>
              </w:rPr>
            </w:pPr>
            <w:r>
              <w:rPr>
                <w:rFonts w:hint="eastAsia" w:ascii="仿宋" w:hAnsi="仿宋" w:eastAsia="仿宋" w:cs="仿宋"/>
                <w:sz w:val="24"/>
                <w:highlight w:val="none"/>
              </w:rPr>
              <w:t>备注</w:t>
            </w:r>
          </w:p>
        </w:tc>
        <w:tc>
          <w:tcPr>
            <w:tcW w:w="5780" w:type="dxa"/>
            <w:vAlign w:val="center"/>
          </w:tcPr>
          <w:p w14:paraId="393704ED">
            <w:pPr>
              <w:jc w:val="center"/>
              <w:rPr>
                <w:rFonts w:hint="eastAsia" w:ascii="仿宋" w:hAnsi="仿宋" w:eastAsia="仿宋" w:cs="仿宋"/>
                <w:sz w:val="24"/>
                <w:highlight w:val="none"/>
              </w:rPr>
            </w:pPr>
          </w:p>
        </w:tc>
      </w:tr>
    </w:tbl>
    <w:p w14:paraId="02C6E4CC">
      <w:pPr>
        <w:rPr>
          <w:rFonts w:hint="eastAsia" w:ascii="仿宋" w:hAnsi="仿宋" w:eastAsia="仿宋" w:cs="仿宋"/>
          <w:highlight w:val="none"/>
        </w:rPr>
        <w:sectPr>
          <w:pgSz w:w="11906" w:h="16838"/>
          <w:pgMar w:top="1440" w:right="1800" w:bottom="1440" w:left="1800" w:header="851" w:footer="992" w:gutter="0"/>
          <w:cols w:space="0" w:num="1"/>
          <w:docGrid w:type="lines" w:linePitch="319" w:charSpace="0"/>
        </w:sectPr>
      </w:pPr>
      <w:r>
        <w:rPr>
          <w:rFonts w:hint="eastAsia" w:ascii="仿宋" w:hAnsi="仿宋" w:eastAsia="仿宋" w:cs="仿宋"/>
          <w:highlight w:val="none"/>
        </w:rPr>
        <w:br w:type="page"/>
      </w:r>
    </w:p>
    <w:p w14:paraId="06F8BF33">
      <w:pPr>
        <w:pStyle w:val="2"/>
        <w:rPr>
          <w:rFonts w:hint="eastAsia"/>
          <w:highlight w:val="none"/>
        </w:rPr>
      </w:pPr>
    </w:p>
    <w:p w14:paraId="5125FA0F">
      <w:pPr>
        <w:pStyle w:val="4"/>
        <w:jc w:val="center"/>
        <w:rPr>
          <w:rFonts w:hint="eastAsia" w:ascii="仿宋" w:hAnsi="仿宋" w:eastAsia="仿宋" w:cs="仿宋"/>
          <w:highlight w:val="none"/>
        </w:rPr>
      </w:pPr>
      <w:bookmarkStart w:id="287" w:name="_Toc475970902"/>
      <w:bookmarkStart w:id="288" w:name="_Toc18833"/>
      <w:bookmarkStart w:id="289" w:name="_Toc22786"/>
      <w:bookmarkStart w:id="290" w:name="_Toc16650"/>
      <w:bookmarkStart w:id="291" w:name="_Toc24065"/>
      <w:bookmarkStart w:id="292" w:name="_Toc3589"/>
      <w:bookmarkStart w:id="293" w:name="_Toc21524"/>
      <w:r>
        <w:rPr>
          <w:rFonts w:hint="eastAsia" w:ascii="仿宋" w:hAnsi="仿宋" w:eastAsia="仿宋" w:cs="仿宋"/>
          <w:sz w:val="30"/>
          <w:szCs w:val="30"/>
          <w:highlight w:val="none"/>
        </w:rPr>
        <w:t>二、采购要求</w:t>
      </w:r>
      <w:bookmarkEnd w:id="287"/>
      <w:bookmarkEnd w:id="288"/>
      <w:bookmarkEnd w:id="289"/>
      <w:bookmarkEnd w:id="290"/>
      <w:bookmarkEnd w:id="291"/>
      <w:bookmarkEnd w:id="292"/>
      <w:bookmarkEnd w:id="293"/>
    </w:p>
    <w:p w14:paraId="6DDACFE3">
      <w:pPr>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rPr>
        <w:t>（一）采购清单</w:t>
      </w:r>
      <w:r>
        <w:rPr>
          <w:rFonts w:hint="eastAsia" w:ascii="仿宋" w:hAnsi="仿宋" w:eastAsia="仿宋" w:cs="仿宋"/>
          <w:b/>
          <w:bCs/>
          <w:sz w:val="28"/>
          <w:szCs w:val="28"/>
          <w:highlight w:val="none"/>
          <w:lang w:val="en-US" w:eastAsia="zh-CN"/>
        </w:rPr>
        <w:t>及技术需求</w:t>
      </w:r>
    </w:p>
    <w:tbl>
      <w:tblPr>
        <w:tblStyle w:val="20"/>
        <w:tblW w:w="5263" w:type="pct"/>
        <w:tblInd w:w="0" w:type="dxa"/>
        <w:tblLayout w:type="fixed"/>
        <w:tblCellMar>
          <w:top w:w="0" w:type="dxa"/>
          <w:left w:w="108" w:type="dxa"/>
          <w:bottom w:w="0" w:type="dxa"/>
          <w:right w:w="108" w:type="dxa"/>
        </w:tblCellMar>
      </w:tblPr>
      <w:tblGrid>
        <w:gridCol w:w="631"/>
        <w:gridCol w:w="1613"/>
        <w:gridCol w:w="8275"/>
        <w:gridCol w:w="1087"/>
        <w:gridCol w:w="800"/>
        <w:gridCol w:w="2514"/>
      </w:tblGrid>
      <w:tr w14:paraId="52A2FC78">
        <w:tblPrEx>
          <w:tblCellMar>
            <w:top w:w="0" w:type="dxa"/>
            <w:left w:w="108" w:type="dxa"/>
            <w:bottom w:w="0" w:type="dxa"/>
            <w:right w:w="108" w:type="dxa"/>
          </w:tblCellMar>
        </w:tblPrEx>
        <w:trPr>
          <w:trHeight w:val="600"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61B8951D">
            <w:pPr>
              <w:widowControl/>
              <w:spacing w:line="360" w:lineRule="auto"/>
              <w:jc w:val="center"/>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序号</w:t>
            </w:r>
          </w:p>
        </w:tc>
        <w:tc>
          <w:tcPr>
            <w:tcW w:w="540" w:type="pct"/>
            <w:tcBorders>
              <w:top w:val="single" w:color="000000" w:sz="4" w:space="0"/>
              <w:left w:val="single" w:color="000000" w:sz="4" w:space="0"/>
              <w:bottom w:val="single" w:color="000000" w:sz="4" w:space="0"/>
              <w:right w:val="single" w:color="000000" w:sz="4" w:space="0"/>
            </w:tcBorders>
            <w:vAlign w:val="center"/>
          </w:tcPr>
          <w:p w14:paraId="50416A20">
            <w:pPr>
              <w:widowControl/>
              <w:spacing w:line="360" w:lineRule="auto"/>
              <w:jc w:val="center"/>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名称</w:t>
            </w:r>
          </w:p>
        </w:tc>
        <w:tc>
          <w:tcPr>
            <w:tcW w:w="2773" w:type="pct"/>
            <w:tcBorders>
              <w:top w:val="single" w:color="000000" w:sz="4" w:space="0"/>
              <w:left w:val="single" w:color="000000" w:sz="4" w:space="0"/>
              <w:bottom w:val="single" w:color="000000" w:sz="4" w:space="0"/>
              <w:right w:val="single" w:color="000000" w:sz="4" w:space="0"/>
            </w:tcBorders>
            <w:vAlign w:val="center"/>
          </w:tcPr>
          <w:p w14:paraId="46AF8BA4">
            <w:pPr>
              <w:widowControl/>
              <w:spacing w:line="360" w:lineRule="auto"/>
              <w:jc w:val="center"/>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参数</w:t>
            </w:r>
          </w:p>
        </w:tc>
        <w:tc>
          <w:tcPr>
            <w:tcW w:w="364" w:type="pct"/>
            <w:tcBorders>
              <w:top w:val="single" w:color="000000" w:sz="4" w:space="0"/>
              <w:left w:val="single" w:color="000000" w:sz="4" w:space="0"/>
              <w:bottom w:val="single" w:color="000000" w:sz="4" w:space="0"/>
              <w:right w:val="single" w:color="000000" w:sz="4" w:space="0"/>
            </w:tcBorders>
            <w:vAlign w:val="center"/>
          </w:tcPr>
          <w:p w14:paraId="16B608A4">
            <w:pPr>
              <w:widowControl/>
              <w:spacing w:line="360" w:lineRule="auto"/>
              <w:jc w:val="center"/>
              <w:textAlignment w:val="center"/>
              <w:rPr>
                <w:rFonts w:hint="eastAsia" w:ascii="仿宋" w:hAnsi="仿宋" w:eastAsia="仿宋" w:cs="仿宋"/>
                <w:b/>
                <w:bCs/>
                <w:sz w:val="24"/>
                <w:highlight w:val="none"/>
              </w:rPr>
            </w:pPr>
            <w:r>
              <w:rPr>
                <w:rFonts w:hint="eastAsia" w:ascii="仿宋" w:hAnsi="仿宋" w:eastAsia="仿宋" w:cs="仿宋"/>
                <w:b/>
                <w:bCs/>
                <w:kern w:val="0"/>
                <w:sz w:val="24"/>
                <w:highlight w:val="none"/>
                <w:lang w:bidi="ar"/>
              </w:rPr>
              <w:t>数量</w:t>
            </w:r>
          </w:p>
        </w:tc>
        <w:tc>
          <w:tcPr>
            <w:tcW w:w="268" w:type="pct"/>
            <w:tcBorders>
              <w:top w:val="single" w:color="000000" w:sz="4" w:space="0"/>
              <w:left w:val="single" w:color="000000" w:sz="4" w:space="0"/>
              <w:bottom w:val="single" w:color="000000" w:sz="4" w:space="0"/>
              <w:right w:val="single" w:color="000000" w:sz="4" w:space="0"/>
            </w:tcBorders>
            <w:vAlign w:val="center"/>
          </w:tcPr>
          <w:p w14:paraId="4450FFD2">
            <w:pPr>
              <w:widowControl/>
              <w:spacing w:line="360" w:lineRule="auto"/>
              <w:jc w:val="center"/>
              <w:textAlignment w:val="center"/>
              <w:rPr>
                <w:rFonts w:hint="eastAsia" w:ascii="仿宋" w:hAnsi="仿宋" w:eastAsia="仿宋" w:cs="仿宋"/>
                <w:b/>
                <w:bCs/>
                <w:kern w:val="0"/>
                <w:sz w:val="24"/>
                <w:highlight w:val="none"/>
                <w:lang w:bidi="ar"/>
              </w:rPr>
            </w:pPr>
            <w:r>
              <w:rPr>
                <w:rFonts w:hint="eastAsia" w:ascii="仿宋" w:hAnsi="仿宋" w:eastAsia="仿宋" w:cs="仿宋"/>
                <w:b/>
                <w:bCs/>
                <w:kern w:val="0"/>
                <w:sz w:val="24"/>
                <w:highlight w:val="none"/>
                <w:lang w:bidi="ar"/>
              </w:rPr>
              <w:t>单位</w:t>
            </w:r>
          </w:p>
        </w:tc>
        <w:tc>
          <w:tcPr>
            <w:tcW w:w="842" w:type="pct"/>
            <w:tcBorders>
              <w:top w:val="single" w:color="000000" w:sz="4" w:space="0"/>
              <w:left w:val="single" w:color="000000" w:sz="4" w:space="0"/>
              <w:bottom w:val="single" w:color="000000" w:sz="4" w:space="0"/>
              <w:right w:val="single" w:color="000000" w:sz="4" w:space="0"/>
            </w:tcBorders>
            <w:vAlign w:val="center"/>
          </w:tcPr>
          <w:p w14:paraId="05800E78">
            <w:pPr>
              <w:widowControl/>
              <w:spacing w:line="360" w:lineRule="auto"/>
              <w:jc w:val="center"/>
              <w:textAlignment w:val="center"/>
              <w:rPr>
                <w:rFonts w:hint="eastAsia" w:ascii="仿宋" w:hAnsi="仿宋" w:eastAsia="仿宋" w:cs="仿宋"/>
                <w:b/>
                <w:bCs/>
                <w:kern w:val="0"/>
                <w:sz w:val="24"/>
                <w:highlight w:val="none"/>
                <w:lang w:val="en-US" w:eastAsia="zh-CN" w:bidi="ar"/>
              </w:rPr>
            </w:pPr>
            <w:r>
              <w:rPr>
                <w:rFonts w:hint="eastAsia" w:ascii="仿宋" w:hAnsi="仿宋" w:eastAsia="仿宋" w:cs="仿宋"/>
                <w:b/>
                <w:bCs/>
                <w:kern w:val="0"/>
                <w:sz w:val="24"/>
                <w:highlight w:val="none"/>
                <w:lang w:val="en-US" w:eastAsia="zh-CN" w:bidi="ar"/>
              </w:rPr>
              <w:t>参考图片</w:t>
            </w:r>
          </w:p>
        </w:tc>
      </w:tr>
      <w:tr w14:paraId="78CB39DB">
        <w:tblPrEx>
          <w:tblCellMar>
            <w:top w:w="0" w:type="dxa"/>
            <w:left w:w="108" w:type="dxa"/>
            <w:bottom w:w="0" w:type="dxa"/>
            <w:right w:w="108" w:type="dxa"/>
          </w:tblCellMar>
        </w:tblPrEx>
        <w:trPr>
          <w:trHeight w:val="90"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49722EF4">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w:t>
            </w:r>
          </w:p>
        </w:tc>
        <w:tc>
          <w:tcPr>
            <w:tcW w:w="540" w:type="pct"/>
            <w:tcBorders>
              <w:top w:val="single" w:color="000000" w:sz="4" w:space="0"/>
              <w:left w:val="single" w:color="000000" w:sz="4" w:space="0"/>
              <w:bottom w:val="single" w:color="000000" w:sz="4" w:space="0"/>
              <w:right w:val="single" w:color="000000" w:sz="4" w:space="0"/>
            </w:tcBorders>
            <w:vAlign w:val="center"/>
          </w:tcPr>
          <w:p w14:paraId="6F31529E">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路由器</w:t>
            </w:r>
          </w:p>
        </w:tc>
        <w:tc>
          <w:tcPr>
            <w:tcW w:w="2773" w:type="pct"/>
            <w:tcBorders>
              <w:top w:val="single" w:color="000000" w:sz="4" w:space="0"/>
              <w:left w:val="single" w:color="000000" w:sz="4" w:space="0"/>
              <w:bottom w:val="single" w:color="000000" w:sz="4" w:space="0"/>
              <w:right w:val="single" w:color="000000" w:sz="4" w:space="0"/>
            </w:tcBorders>
            <w:vAlign w:val="center"/>
          </w:tcPr>
          <w:p w14:paraId="38960D36">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 性能：转发性能≥3Mpps，整机交换容量≥52Gbps；</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 端口：WAN≥5*GE+2*SFP，LAN≥8*GE ，业务扩展槽：≥2个，内置交流电源；</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3. 支持IPv4/IPv6；支持静态路由，支持动态路由的RIPv1/v2、OSPFv2、BGP、IS-IS、支持路由迭代、支持组播路由协议；</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5. 支持记录终端用户访问互联网的日志，包括：用户名、源/目的IP地址、时间、访问的域名、URL等；</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6.支持对PC、移动终端常见互联网应用识别，并能够针对应用下发过滤和限速控制策略；</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7.支持划分安全域，用于管理防火墙设备上安全需求相同的多个接口；</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8.通过动态VPN技术，实现动态获取对端分支节点当前的公网地址，从而实现两个节点之间动态建立跨越IP核心网络的动态VPN隧道简化VPN网络部署复杂度和提高管理效率；</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9.支持对系统软硬部件的内部事件、状态进行监控，出现特定事件后能够自动调整网络设备业务和控制策略，实现智能自动化控制；</w:t>
            </w:r>
          </w:p>
        </w:tc>
        <w:tc>
          <w:tcPr>
            <w:tcW w:w="364" w:type="pct"/>
            <w:tcBorders>
              <w:top w:val="single" w:color="000000" w:sz="4" w:space="0"/>
              <w:left w:val="single" w:color="000000" w:sz="4" w:space="0"/>
              <w:bottom w:val="single" w:color="000000" w:sz="4" w:space="0"/>
              <w:right w:val="single" w:color="000000" w:sz="4" w:space="0"/>
            </w:tcBorders>
            <w:vAlign w:val="center"/>
          </w:tcPr>
          <w:p w14:paraId="5C229B0A">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w:t>
            </w:r>
          </w:p>
        </w:tc>
        <w:tc>
          <w:tcPr>
            <w:tcW w:w="268" w:type="pct"/>
            <w:tcBorders>
              <w:top w:val="single" w:color="000000" w:sz="4" w:space="0"/>
              <w:left w:val="single" w:color="000000" w:sz="4" w:space="0"/>
              <w:bottom w:val="single" w:color="000000" w:sz="4" w:space="0"/>
              <w:right w:val="single" w:color="000000" w:sz="4" w:space="0"/>
            </w:tcBorders>
            <w:vAlign w:val="center"/>
          </w:tcPr>
          <w:p w14:paraId="194EC2CB">
            <w:pPr>
              <w:widowControl/>
              <w:spacing w:line="360" w:lineRule="auto"/>
              <w:jc w:val="center"/>
              <w:textAlignment w:val="center"/>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val="en-US" w:eastAsia="zh-CN" w:bidi="ar"/>
              </w:rPr>
              <w:t>台</w:t>
            </w:r>
          </w:p>
        </w:tc>
        <w:tc>
          <w:tcPr>
            <w:tcW w:w="842" w:type="pct"/>
            <w:tcBorders>
              <w:top w:val="single" w:color="000000" w:sz="4" w:space="0"/>
              <w:left w:val="single" w:color="000000" w:sz="4" w:space="0"/>
              <w:bottom w:val="single" w:color="000000" w:sz="4" w:space="0"/>
              <w:right w:val="single" w:color="000000" w:sz="4" w:space="0"/>
            </w:tcBorders>
            <w:vAlign w:val="center"/>
          </w:tcPr>
          <w:p w14:paraId="083DF2CF">
            <w:pPr>
              <w:widowControl/>
              <w:spacing w:line="360" w:lineRule="auto"/>
              <w:jc w:val="center"/>
              <w:textAlignment w:val="center"/>
              <w:rPr>
                <w:rFonts w:hint="eastAsia" w:ascii="仿宋" w:hAnsi="仿宋" w:eastAsia="仿宋" w:cs="仿宋"/>
                <w:kern w:val="0"/>
                <w:sz w:val="24"/>
                <w:highlight w:val="none"/>
                <w:lang w:val="en-US" w:eastAsia="zh-CN" w:bidi="ar"/>
              </w:rPr>
            </w:pPr>
          </w:p>
        </w:tc>
      </w:tr>
      <w:tr w14:paraId="7AC3C5DD">
        <w:tblPrEx>
          <w:tblCellMar>
            <w:top w:w="0" w:type="dxa"/>
            <w:left w:w="108" w:type="dxa"/>
            <w:bottom w:w="0" w:type="dxa"/>
            <w:right w:w="108" w:type="dxa"/>
          </w:tblCellMar>
        </w:tblPrEx>
        <w:trPr>
          <w:trHeight w:val="90"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7C76C0E7">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2</w:t>
            </w:r>
          </w:p>
        </w:tc>
        <w:tc>
          <w:tcPr>
            <w:tcW w:w="540" w:type="pct"/>
            <w:tcBorders>
              <w:top w:val="single" w:color="000000" w:sz="4" w:space="0"/>
              <w:left w:val="single" w:color="000000" w:sz="4" w:space="0"/>
              <w:bottom w:val="single" w:color="000000" w:sz="4" w:space="0"/>
              <w:right w:val="single" w:color="000000" w:sz="4" w:space="0"/>
            </w:tcBorders>
            <w:vAlign w:val="center"/>
          </w:tcPr>
          <w:p w14:paraId="69A94CCA">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三层可控交换机</w:t>
            </w:r>
          </w:p>
        </w:tc>
        <w:tc>
          <w:tcPr>
            <w:tcW w:w="2773" w:type="pct"/>
            <w:tcBorders>
              <w:top w:val="single" w:color="000000" w:sz="4" w:space="0"/>
              <w:left w:val="single" w:color="000000" w:sz="4" w:space="0"/>
              <w:bottom w:val="single" w:color="000000" w:sz="4" w:space="0"/>
              <w:right w:val="single" w:color="000000" w:sz="4" w:space="0"/>
            </w:tcBorders>
            <w:vAlign w:val="center"/>
          </w:tcPr>
          <w:p w14:paraId="40AF21A7">
            <w:pPr>
              <w:widowControl/>
              <w:numPr>
                <w:ilvl w:val="0"/>
                <w:numId w:val="1"/>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交换容量≥672Gbps，包转发率≥126Mpps；</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2、提供≥24个千兆电口，≥4个千兆光口；</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3、支持IPv4/IPv6静态路由，RIP/RIPng，OSPFv1/v2/v3等路由；</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4、支持VLAN、ACL、QoS、组播、链路聚合、虚拟化、端口镜像等功能；</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5、支持命令行、Telnet、SNMP、RMON、WEB网管；</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6、MAC地址≥16K，路由表容量≥3K，ARP表项≥2K；</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7、支持、RSTP、MSTP、、ERPS、等协议；</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8、实现CPU保护功能，能限制非法报文对CPU的攻击，保护交换机在各种环境下稳定工作；</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9、支持802.1X认证，支持集中式MAC地址认证;</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10、支持OAM(802.1AG， 802.3AH)以太网运行、维护和管理标准；</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11、符合IEEE 802.3az（EEE）节能标准，支持端口休眠；</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12、支持图形化管理功能，支持由管理设备下发功能，配合管理设备实现终端识别、一键替换设备、批量下发配置、资源监控、支持纵向虚拟化统一管理；</w:t>
            </w:r>
          </w:p>
        </w:tc>
        <w:tc>
          <w:tcPr>
            <w:tcW w:w="364" w:type="pct"/>
            <w:tcBorders>
              <w:top w:val="single" w:color="000000" w:sz="4" w:space="0"/>
              <w:left w:val="single" w:color="000000" w:sz="4" w:space="0"/>
              <w:bottom w:val="single" w:color="000000" w:sz="4" w:space="0"/>
              <w:right w:val="single" w:color="000000" w:sz="4" w:space="0"/>
            </w:tcBorders>
            <w:vAlign w:val="center"/>
          </w:tcPr>
          <w:p w14:paraId="1C34A3BA">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w:t>
            </w:r>
          </w:p>
        </w:tc>
        <w:tc>
          <w:tcPr>
            <w:tcW w:w="268" w:type="pct"/>
            <w:tcBorders>
              <w:top w:val="single" w:color="000000" w:sz="4" w:space="0"/>
              <w:left w:val="single" w:color="000000" w:sz="4" w:space="0"/>
              <w:bottom w:val="single" w:color="000000" w:sz="4" w:space="0"/>
              <w:right w:val="single" w:color="000000" w:sz="4" w:space="0"/>
            </w:tcBorders>
            <w:vAlign w:val="center"/>
          </w:tcPr>
          <w:p w14:paraId="691F2BB2">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台</w:t>
            </w:r>
          </w:p>
        </w:tc>
        <w:tc>
          <w:tcPr>
            <w:tcW w:w="842" w:type="pct"/>
            <w:tcBorders>
              <w:top w:val="single" w:color="000000" w:sz="4" w:space="0"/>
              <w:left w:val="single" w:color="000000" w:sz="4" w:space="0"/>
              <w:bottom w:val="single" w:color="000000" w:sz="4" w:space="0"/>
              <w:right w:val="single" w:color="000000" w:sz="4" w:space="0"/>
            </w:tcBorders>
            <w:vAlign w:val="center"/>
          </w:tcPr>
          <w:p w14:paraId="7D2BFD92">
            <w:pPr>
              <w:widowControl/>
              <w:spacing w:line="360" w:lineRule="auto"/>
              <w:jc w:val="center"/>
              <w:textAlignment w:val="center"/>
              <w:rPr>
                <w:rFonts w:hint="eastAsia" w:ascii="仿宋" w:hAnsi="仿宋" w:eastAsia="仿宋" w:cs="仿宋"/>
                <w:kern w:val="0"/>
                <w:sz w:val="24"/>
                <w:highlight w:val="none"/>
                <w:lang w:val="en-US" w:eastAsia="zh-CN" w:bidi="ar"/>
              </w:rPr>
            </w:pPr>
          </w:p>
        </w:tc>
      </w:tr>
      <w:tr w14:paraId="21DCE627">
        <w:tblPrEx>
          <w:tblCellMar>
            <w:top w:w="0" w:type="dxa"/>
            <w:left w:w="108" w:type="dxa"/>
            <w:bottom w:w="0" w:type="dxa"/>
            <w:right w:w="108" w:type="dxa"/>
          </w:tblCellMar>
        </w:tblPrEx>
        <w:trPr>
          <w:trHeight w:val="90"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059E8357">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3</w:t>
            </w:r>
          </w:p>
        </w:tc>
        <w:tc>
          <w:tcPr>
            <w:tcW w:w="540" w:type="pct"/>
            <w:tcBorders>
              <w:top w:val="single" w:color="000000" w:sz="4" w:space="0"/>
              <w:left w:val="single" w:color="000000" w:sz="4" w:space="0"/>
              <w:bottom w:val="single" w:color="000000" w:sz="4" w:space="0"/>
              <w:right w:val="single" w:color="000000" w:sz="4" w:space="0"/>
            </w:tcBorders>
            <w:vAlign w:val="center"/>
          </w:tcPr>
          <w:p w14:paraId="61B6EF2B">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二层可控交换机</w:t>
            </w:r>
          </w:p>
        </w:tc>
        <w:tc>
          <w:tcPr>
            <w:tcW w:w="2773" w:type="pct"/>
            <w:tcBorders>
              <w:top w:val="single" w:color="000000" w:sz="4" w:space="0"/>
              <w:left w:val="single" w:color="000000" w:sz="4" w:space="0"/>
              <w:bottom w:val="single" w:color="000000" w:sz="4" w:space="0"/>
              <w:right w:val="single" w:color="000000" w:sz="4" w:space="0"/>
            </w:tcBorders>
            <w:vAlign w:val="center"/>
          </w:tcPr>
          <w:p w14:paraId="6E51A390">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1、交换容量≥672Gbps；</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2、提供≥8个千兆电口，≥4个千兆光口；整机POE供电功率≥125W；</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3、支持IPv4/IPv6静态路由，RIP/RIPng，OSPFv1/v2/v3等路由；</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4、支持VLAN、ACL、QoS、组播、链路聚合、虚拟化、端口镜像等功能；</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5、支持命令行、Telnet、SNMP、RMON、WEB网管；</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6、MAC地址≥16K，路由表容量≥3K，ARP表项≥2K；</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7、支持RSTP、MSTP、ERPS等协议；</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8、实现CPU保护功能，能限制非法报文对CPU的攻击，保护交换机在各种环境下稳定工作；</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9、支持802.1X认证，支持集中式MAC地址认证;</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10、支持OAM(802.1AG， 802.3AH)以太网运行、维护和管理标准；</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11、符合IEEE 802.3az（EEE）节能标准，支持端口休眠；</w:t>
            </w:r>
          </w:p>
          <w:p w14:paraId="6EEA7165">
            <w:pPr>
              <w:widowControl/>
              <w:shd w:val="clear" w:color="auto" w:fill="FFFFFF" w:themeFill="background1"/>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1</w:t>
            </w:r>
            <w:r>
              <w:rPr>
                <w:rFonts w:hint="eastAsia" w:ascii="仿宋" w:hAnsi="仿宋" w:eastAsia="仿宋" w:cs="仿宋"/>
                <w:kern w:val="0"/>
                <w:sz w:val="24"/>
                <w:highlight w:val="none"/>
                <w:lang w:val="en-US" w:eastAsia="zh-CN" w:bidi="ar"/>
              </w:rPr>
              <w:t>2</w:t>
            </w:r>
            <w:r>
              <w:rPr>
                <w:rFonts w:hint="eastAsia" w:ascii="仿宋" w:hAnsi="仿宋" w:eastAsia="仿宋" w:cs="仿宋"/>
                <w:kern w:val="0"/>
                <w:sz w:val="24"/>
                <w:highlight w:val="none"/>
                <w:lang w:bidi="ar"/>
              </w:rPr>
              <w:t>、支持Smartlink功能，Smartlink性能测试收敛时间小于50ms；</w:t>
            </w:r>
          </w:p>
          <w:p w14:paraId="23EF9290">
            <w:pPr>
              <w:widowControl/>
              <w:shd w:val="clear" w:color="auto" w:fill="FFFFFF" w:themeFill="background1"/>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1</w:t>
            </w:r>
            <w:r>
              <w:rPr>
                <w:rFonts w:hint="eastAsia" w:ascii="仿宋" w:hAnsi="仿宋" w:eastAsia="仿宋" w:cs="仿宋"/>
                <w:kern w:val="0"/>
                <w:sz w:val="24"/>
                <w:highlight w:val="none"/>
                <w:lang w:val="en-US" w:eastAsia="zh-CN" w:bidi="ar"/>
              </w:rPr>
              <w:t>3</w:t>
            </w:r>
            <w:r>
              <w:rPr>
                <w:rFonts w:hint="eastAsia" w:ascii="仿宋" w:hAnsi="仿宋" w:eastAsia="仿宋" w:cs="仿宋"/>
                <w:kern w:val="0"/>
                <w:sz w:val="24"/>
                <w:highlight w:val="none"/>
                <w:lang w:bidi="ar"/>
              </w:rPr>
              <w:t>、支持9台设备堆叠，可实现集中管理；</w:t>
            </w:r>
          </w:p>
        </w:tc>
        <w:tc>
          <w:tcPr>
            <w:tcW w:w="364" w:type="pct"/>
            <w:tcBorders>
              <w:top w:val="single" w:color="000000" w:sz="4" w:space="0"/>
              <w:left w:val="single" w:color="000000" w:sz="4" w:space="0"/>
              <w:bottom w:val="single" w:color="000000" w:sz="4" w:space="0"/>
              <w:right w:val="single" w:color="000000" w:sz="4" w:space="0"/>
            </w:tcBorders>
            <w:vAlign w:val="center"/>
          </w:tcPr>
          <w:p w14:paraId="4C9C8584">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w:t>
            </w:r>
          </w:p>
        </w:tc>
        <w:tc>
          <w:tcPr>
            <w:tcW w:w="268" w:type="pct"/>
            <w:tcBorders>
              <w:top w:val="single" w:color="000000" w:sz="4" w:space="0"/>
              <w:left w:val="single" w:color="000000" w:sz="4" w:space="0"/>
              <w:bottom w:val="single" w:color="000000" w:sz="4" w:space="0"/>
              <w:right w:val="single" w:color="000000" w:sz="4" w:space="0"/>
            </w:tcBorders>
            <w:vAlign w:val="center"/>
          </w:tcPr>
          <w:p w14:paraId="244FEC28">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台</w:t>
            </w:r>
          </w:p>
        </w:tc>
        <w:tc>
          <w:tcPr>
            <w:tcW w:w="842" w:type="pct"/>
            <w:tcBorders>
              <w:top w:val="single" w:color="000000" w:sz="4" w:space="0"/>
              <w:left w:val="single" w:color="000000" w:sz="4" w:space="0"/>
              <w:bottom w:val="single" w:color="000000" w:sz="4" w:space="0"/>
              <w:right w:val="single" w:color="000000" w:sz="4" w:space="0"/>
            </w:tcBorders>
            <w:vAlign w:val="center"/>
          </w:tcPr>
          <w:p w14:paraId="63A73ACE">
            <w:pPr>
              <w:widowControl/>
              <w:spacing w:line="360" w:lineRule="auto"/>
              <w:jc w:val="center"/>
              <w:textAlignment w:val="center"/>
              <w:rPr>
                <w:rFonts w:hint="eastAsia" w:ascii="仿宋" w:hAnsi="仿宋" w:eastAsia="仿宋" w:cs="仿宋"/>
                <w:kern w:val="0"/>
                <w:sz w:val="24"/>
                <w:highlight w:val="none"/>
                <w:lang w:val="en-US" w:eastAsia="zh-CN" w:bidi="ar"/>
              </w:rPr>
            </w:pPr>
          </w:p>
        </w:tc>
      </w:tr>
      <w:tr w14:paraId="7C9FB051">
        <w:tblPrEx>
          <w:tblCellMar>
            <w:top w:w="0" w:type="dxa"/>
            <w:left w:w="108" w:type="dxa"/>
            <w:bottom w:w="0" w:type="dxa"/>
            <w:right w:w="108" w:type="dxa"/>
          </w:tblCellMar>
        </w:tblPrEx>
        <w:trPr>
          <w:trHeight w:val="90"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2536F9F5">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4</w:t>
            </w:r>
          </w:p>
        </w:tc>
        <w:tc>
          <w:tcPr>
            <w:tcW w:w="540" w:type="pct"/>
            <w:tcBorders>
              <w:top w:val="single" w:color="000000" w:sz="4" w:space="0"/>
              <w:left w:val="single" w:color="000000" w:sz="4" w:space="0"/>
              <w:bottom w:val="single" w:color="000000" w:sz="4" w:space="0"/>
              <w:right w:val="single" w:color="000000" w:sz="4" w:space="0"/>
            </w:tcBorders>
            <w:vAlign w:val="center"/>
          </w:tcPr>
          <w:p w14:paraId="383287CE">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无线AC</w:t>
            </w:r>
          </w:p>
        </w:tc>
        <w:tc>
          <w:tcPr>
            <w:tcW w:w="2773" w:type="pct"/>
            <w:tcBorders>
              <w:top w:val="single" w:color="000000" w:sz="4" w:space="0"/>
              <w:left w:val="single" w:color="000000" w:sz="4" w:space="0"/>
              <w:bottom w:val="single" w:color="000000" w:sz="4" w:space="0"/>
              <w:right w:val="single" w:color="000000" w:sz="4" w:space="0"/>
            </w:tcBorders>
            <w:vAlign w:val="center"/>
          </w:tcPr>
          <w:p w14:paraId="542E4C54">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1、要求所投产品满足常规AP最大数量≥144；本次实际配置≥1个AP管理授权；</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2、要求所投产品集中转发性能≥10Gbps；</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3、要求所投产品提供≥8个千兆GE端口，≥2个2.5GE端口，以及≥2个万兆SFP+端口；</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4、为使得网络管理员实时感知网络状态，所投产品需要在网络发生异常时，可利用短信、微信、邮件等三种不同方式推送告警信息；</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5、支持 IPv4 和 IPv6 双栈，支持用户地址和隧道地址任意选择使用IPv4或IPv6 ，灵活组合使用；</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6、支持在portal认证时基于源/目的地址配置白名单(放行规则)功能，允许终端在认证前访问指定的网络。支持Portal 认证基于源/目的地址配置黑名单(阻断规则)功能，禁止终端在 Portal 认证成功后访问指定的网络；</w:t>
            </w:r>
          </w:p>
        </w:tc>
        <w:tc>
          <w:tcPr>
            <w:tcW w:w="364" w:type="pct"/>
            <w:tcBorders>
              <w:top w:val="single" w:color="000000" w:sz="4" w:space="0"/>
              <w:left w:val="single" w:color="000000" w:sz="4" w:space="0"/>
              <w:bottom w:val="single" w:color="000000" w:sz="4" w:space="0"/>
              <w:right w:val="single" w:color="000000" w:sz="4" w:space="0"/>
            </w:tcBorders>
            <w:vAlign w:val="center"/>
          </w:tcPr>
          <w:p w14:paraId="38FFC1ED">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w:t>
            </w:r>
          </w:p>
        </w:tc>
        <w:tc>
          <w:tcPr>
            <w:tcW w:w="268" w:type="pct"/>
            <w:tcBorders>
              <w:top w:val="single" w:color="000000" w:sz="4" w:space="0"/>
              <w:left w:val="single" w:color="000000" w:sz="4" w:space="0"/>
              <w:bottom w:val="single" w:color="000000" w:sz="4" w:space="0"/>
              <w:right w:val="single" w:color="000000" w:sz="4" w:space="0"/>
            </w:tcBorders>
            <w:vAlign w:val="center"/>
          </w:tcPr>
          <w:p w14:paraId="3BAFDAAB">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55AC83F9">
            <w:pPr>
              <w:widowControl/>
              <w:spacing w:line="360" w:lineRule="auto"/>
              <w:jc w:val="center"/>
              <w:textAlignment w:val="center"/>
              <w:rPr>
                <w:rFonts w:hint="eastAsia" w:ascii="仿宋" w:hAnsi="仿宋" w:eastAsia="仿宋" w:cs="仿宋"/>
                <w:kern w:val="0"/>
                <w:sz w:val="24"/>
                <w:highlight w:val="none"/>
                <w:lang w:bidi="ar"/>
              </w:rPr>
            </w:pPr>
          </w:p>
        </w:tc>
      </w:tr>
      <w:tr w14:paraId="6760DA57">
        <w:tblPrEx>
          <w:tblCellMar>
            <w:top w:w="0" w:type="dxa"/>
            <w:left w:w="108" w:type="dxa"/>
            <w:bottom w:w="0" w:type="dxa"/>
            <w:right w:w="108" w:type="dxa"/>
          </w:tblCellMar>
        </w:tblPrEx>
        <w:trPr>
          <w:trHeight w:val="90"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348E7FCC">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5</w:t>
            </w:r>
          </w:p>
        </w:tc>
        <w:tc>
          <w:tcPr>
            <w:tcW w:w="540" w:type="pct"/>
            <w:tcBorders>
              <w:top w:val="single" w:color="000000" w:sz="4" w:space="0"/>
              <w:left w:val="single" w:color="000000" w:sz="4" w:space="0"/>
              <w:bottom w:val="single" w:color="000000" w:sz="4" w:space="0"/>
              <w:right w:val="single" w:color="000000" w:sz="4" w:space="0"/>
            </w:tcBorders>
            <w:vAlign w:val="center"/>
          </w:tcPr>
          <w:p w14:paraId="0E4F4B02">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无线AP</w:t>
            </w:r>
          </w:p>
        </w:tc>
        <w:tc>
          <w:tcPr>
            <w:tcW w:w="2773" w:type="pct"/>
            <w:tcBorders>
              <w:top w:val="single" w:color="000000" w:sz="4" w:space="0"/>
              <w:left w:val="single" w:color="000000" w:sz="4" w:space="0"/>
              <w:bottom w:val="single" w:color="000000" w:sz="4" w:space="0"/>
              <w:right w:val="single" w:color="000000" w:sz="4" w:space="0"/>
            </w:tcBorders>
            <w:vAlign w:val="center"/>
          </w:tcPr>
          <w:p w14:paraId="3CC8B182">
            <w:pPr>
              <w:widowControl/>
              <w:numPr>
                <w:ilvl w:val="0"/>
                <w:numId w:val="2"/>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整机采用双频4流设计，可工作在802.11a/b/g/n/ac/ac wave2/ax/be模式；</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2、整机接入速率≥3.57Gbps；≥1个100/1000M/2.5G电口；</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3、满足基于空口利用率的SSID自动隐藏功能，当空口繁忙程度达到或超过配置的阈值时，SSID自动隐藏；</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4、满足WPA3个人级方式下的终端接入；满足WPA3企业级模式下的终端接入功能；</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5、支持WLAN上行链路检测功能，实时监测上行链路的可行性，当上行链路不可达时，将射频关闭，避免终端连接到不可用的网络；</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6、支持USB接口可以连接外置设备如U盘或手机等，实现文件转储和对外充电功能 ；</w:t>
            </w:r>
          </w:p>
          <w:p w14:paraId="5A040699">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7、在10米距离下，使用WIFI7终端接入测试，5GHz频段在160MHz频宽下，单用户极限性能可达到1800Mbps以上；在80MHz频宽下，单用户极限性能可达到1000Mbps以上；</w:t>
            </w:r>
          </w:p>
        </w:tc>
        <w:tc>
          <w:tcPr>
            <w:tcW w:w="364" w:type="pct"/>
            <w:tcBorders>
              <w:top w:val="single" w:color="000000" w:sz="4" w:space="0"/>
              <w:left w:val="single" w:color="000000" w:sz="4" w:space="0"/>
              <w:bottom w:val="single" w:color="000000" w:sz="4" w:space="0"/>
              <w:right w:val="single" w:color="000000" w:sz="4" w:space="0"/>
            </w:tcBorders>
            <w:vAlign w:val="center"/>
          </w:tcPr>
          <w:p w14:paraId="309CD581">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w:t>
            </w:r>
          </w:p>
        </w:tc>
        <w:tc>
          <w:tcPr>
            <w:tcW w:w="268" w:type="pct"/>
            <w:tcBorders>
              <w:top w:val="single" w:color="000000" w:sz="4" w:space="0"/>
              <w:left w:val="single" w:color="000000" w:sz="4" w:space="0"/>
              <w:bottom w:val="single" w:color="000000" w:sz="4" w:space="0"/>
              <w:right w:val="single" w:color="000000" w:sz="4" w:space="0"/>
            </w:tcBorders>
            <w:vAlign w:val="center"/>
          </w:tcPr>
          <w:p w14:paraId="0B56DDA7">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593C05BC">
            <w:pPr>
              <w:widowControl/>
              <w:spacing w:line="360" w:lineRule="auto"/>
              <w:jc w:val="center"/>
              <w:textAlignment w:val="center"/>
              <w:rPr>
                <w:rFonts w:hint="eastAsia" w:ascii="仿宋" w:hAnsi="仿宋" w:eastAsia="仿宋" w:cs="仿宋"/>
                <w:kern w:val="0"/>
                <w:sz w:val="24"/>
                <w:highlight w:val="none"/>
                <w:lang w:bidi="ar"/>
              </w:rPr>
            </w:pPr>
          </w:p>
        </w:tc>
      </w:tr>
      <w:tr w14:paraId="0C2AEBD6">
        <w:tblPrEx>
          <w:tblCellMar>
            <w:top w:w="0" w:type="dxa"/>
            <w:left w:w="108" w:type="dxa"/>
            <w:bottom w:w="0" w:type="dxa"/>
            <w:right w:w="108" w:type="dxa"/>
          </w:tblCellMar>
        </w:tblPrEx>
        <w:trPr>
          <w:trHeight w:val="90"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46897ACC">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6</w:t>
            </w:r>
          </w:p>
        </w:tc>
        <w:tc>
          <w:tcPr>
            <w:tcW w:w="540" w:type="pct"/>
            <w:tcBorders>
              <w:top w:val="single" w:color="000000" w:sz="4" w:space="0"/>
              <w:left w:val="single" w:color="000000" w:sz="4" w:space="0"/>
              <w:bottom w:val="single" w:color="000000" w:sz="4" w:space="0"/>
              <w:right w:val="single" w:color="000000" w:sz="4" w:space="0"/>
            </w:tcBorders>
            <w:vAlign w:val="center"/>
          </w:tcPr>
          <w:p w14:paraId="61E945E6">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设备操作管理控制中心</w:t>
            </w:r>
          </w:p>
        </w:tc>
        <w:tc>
          <w:tcPr>
            <w:tcW w:w="2773" w:type="pct"/>
            <w:tcBorders>
              <w:top w:val="single" w:color="000000" w:sz="4" w:space="0"/>
              <w:left w:val="single" w:color="000000" w:sz="4" w:space="0"/>
              <w:bottom w:val="single" w:color="000000" w:sz="4" w:space="0"/>
              <w:right w:val="single" w:color="000000" w:sz="4" w:space="0"/>
            </w:tcBorders>
            <w:vAlign w:val="center"/>
          </w:tcPr>
          <w:p w14:paraId="3E170A68">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1.固化10/100M以太网接口数量≥2个，固化光口数量≥2个,console口≥1，com≥32个，支持reset按键；</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2.支持同时管理和控制的网络设备数量≥32个；</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3.支持普通用户、访客用户、管理用户等账号分权登录；</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4.支持USB2.0协议，USB口作为拓展口使用；</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5.支持HTTP、HTTPS、SSH等方式登录设备；</w:t>
            </w:r>
            <w:r>
              <w:rPr>
                <w:rFonts w:hint="eastAsia" w:ascii="仿宋" w:hAnsi="仿宋" w:eastAsia="仿宋" w:cs="仿宋"/>
                <w:kern w:val="0"/>
                <w:sz w:val="24"/>
                <w:highlight w:val="none"/>
                <w:lang w:bidi="ar"/>
              </w:rPr>
              <w:br w:type="textWrapping"/>
            </w:r>
            <w:r>
              <w:rPr>
                <w:rFonts w:hint="eastAsia" w:ascii="仿宋" w:hAnsi="仿宋" w:eastAsia="仿宋" w:cs="仿宋"/>
                <w:b/>
                <w:bCs/>
                <w:kern w:val="0"/>
                <w:sz w:val="24"/>
                <w:highlight w:val="none"/>
                <w:lang w:bidi="ar"/>
              </w:rPr>
              <w:t>※</w:t>
            </w:r>
            <w:r>
              <w:rPr>
                <w:rFonts w:hint="eastAsia" w:ascii="仿宋" w:hAnsi="仿宋" w:eastAsia="仿宋" w:cs="仿宋"/>
                <w:kern w:val="0"/>
                <w:sz w:val="24"/>
                <w:highlight w:val="none"/>
                <w:lang w:bidi="ar"/>
              </w:rPr>
              <w:t>6.Web界面支持查看每个串口的使用者IP及端口，</w:t>
            </w:r>
            <w:r>
              <w:rPr>
                <w:rFonts w:hint="eastAsia" w:ascii="仿宋" w:hAnsi="仿宋" w:eastAsia="仿宋" w:cs="仿宋"/>
                <w:b/>
                <w:bCs/>
                <w:color w:val="EE0000"/>
                <w:kern w:val="0"/>
                <w:sz w:val="24"/>
                <w:highlight w:val="none"/>
                <w:lang w:bidi="ar"/>
              </w:rPr>
              <w:t>响应文件提供加盖供应商公章的产品功能截图</w:t>
            </w:r>
            <w:r>
              <w:rPr>
                <w:rFonts w:hint="eastAsia" w:ascii="仿宋" w:hAnsi="仿宋" w:eastAsia="仿宋" w:cs="仿宋"/>
                <w:kern w:val="0"/>
                <w:sz w:val="24"/>
                <w:highlight w:val="none"/>
                <w:lang w:bidi="ar"/>
              </w:rPr>
              <w:t>；</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7.单独串口支持≥8个终端同时使用；</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8.支持日志管理，至少支持本地存储、网络存储、U盘存储和串口日志输出等；</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9.支持NTP功能，对接NTP服务器自动修改设备时间</w:t>
            </w:r>
            <w:r>
              <w:rPr>
                <w:rFonts w:hint="eastAsia" w:ascii="仿宋" w:hAnsi="仿宋" w:eastAsia="仿宋" w:cs="仿宋"/>
                <w:b/>
                <w:bCs/>
                <w:color w:val="EE0000"/>
                <w:kern w:val="0"/>
                <w:sz w:val="24"/>
                <w:highlight w:val="none"/>
                <w:lang w:bidi="ar"/>
              </w:rPr>
              <w:t>响应文件提供加盖供应商公章的产品功能截图</w:t>
            </w:r>
            <w:r>
              <w:rPr>
                <w:rFonts w:hint="eastAsia" w:ascii="仿宋" w:hAnsi="仿宋" w:eastAsia="仿宋" w:cs="仿宋"/>
                <w:kern w:val="0"/>
                <w:sz w:val="24"/>
                <w:highlight w:val="none"/>
                <w:lang w:bidi="ar"/>
              </w:rPr>
              <w:t>；</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10.支持地址过滤功能，限制某IP或某MAC访问；</w:t>
            </w:r>
          </w:p>
        </w:tc>
        <w:tc>
          <w:tcPr>
            <w:tcW w:w="364" w:type="pct"/>
            <w:tcBorders>
              <w:top w:val="single" w:color="000000" w:sz="4" w:space="0"/>
              <w:left w:val="single" w:color="000000" w:sz="4" w:space="0"/>
              <w:bottom w:val="single" w:color="000000" w:sz="4" w:space="0"/>
              <w:right w:val="single" w:color="000000" w:sz="4" w:space="0"/>
            </w:tcBorders>
            <w:vAlign w:val="center"/>
          </w:tcPr>
          <w:p w14:paraId="2C3FE6CA">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4</w:t>
            </w:r>
          </w:p>
        </w:tc>
        <w:tc>
          <w:tcPr>
            <w:tcW w:w="268" w:type="pct"/>
            <w:tcBorders>
              <w:top w:val="single" w:color="000000" w:sz="4" w:space="0"/>
              <w:left w:val="single" w:color="000000" w:sz="4" w:space="0"/>
              <w:bottom w:val="single" w:color="000000" w:sz="4" w:space="0"/>
              <w:right w:val="single" w:color="000000" w:sz="4" w:space="0"/>
            </w:tcBorders>
            <w:vAlign w:val="center"/>
          </w:tcPr>
          <w:p w14:paraId="545B35C8">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30628299">
            <w:pPr>
              <w:widowControl/>
              <w:spacing w:line="360" w:lineRule="auto"/>
              <w:jc w:val="center"/>
              <w:textAlignment w:val="center"/>
              <w:rPr>
                <w:rFonts w:hint="eastAsia" w:ascii="仿宋" w:hAnsi="仿宋" w:eastAsia="仿宋" w:cs="仿宋"/>
                <w:kern w:val="0"/>
                <w:sz w:val="24"/>
                <w:highlight w:val="none"/>
                <w:lang w:bidi="ar"/>
              </w:rPr>
            </w:pPr>
          </w:p>
        </w:tc>
      </w:tr>
      <w:tr w14:paraId="33D33D3F">
        <w:tblPrEx>
          <w:tblCellMar>
            <w:top w:w="0" w:type="dxa"/>
            <w:left w:w="108" w:type="dxa"/>
            <w:bottom w:w="0" w:type="dxa"/>
            <w:right w:w="108" w:type="dxa"/>
          </w:tblCellMar>
        </w:tblPrEx>
        <w:trPr>
          <w:trHeight w:val="90"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4AF78E00">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7</w:t>
            </w:r>
          </w:p>
        </w:tc>
        <w:tc>
          <w:tcPr>
            <w:tcW w:w="540" w:type="pct"/>
            <w:tcBorders>
              <w:top w:val="single" w:color="000000" w:sz="4" w:space="0"/>
              <w:left w:val="single" w:color="000000" w:sz="4" w:space="0"/>
              <w:bottom w:val="single" w:color="000000" w:sz="4" w:space="0"/>
              <w:right w:val="single" w:color="000000" w:sz="4" w:space="0"/>
            </w:tcBorders>
            <w:vAlign w:val="center"/>
          </w:tcPr>
          <w:p w14:paraId="687C60D6">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教学管理节点</w:t>
            </w:r>
          </w:p>
        </w:tc>
        <w:tc>
          <w:tcPr>
            <w:tcW w:w="2773" w:type="pct"/>
            <w:tcBorders>
              <w:top w:val="single" w:color="000000" w:sz="4" w:space="0"/>
              <w:left w:val="single" w:color="000000" w:sz="4" w:space="0"/>
              <w:bottom w:val="single" w:color="000000" w:sz="4" w:space="0"/>
              <w:right w:val="single" w:color="000000" w:sz="4" w:space="0"/>
            </w:tcBorders>
            <w:vAlign w:val="center"/>
          </w:tcPr>
          <w:p w14:paraId="7399666D">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1、可支持2颗Intel Xeon Skylake/Cascade lake系列处理器；</w:t>
            </w:r>
          </w:p>
          <w:p w14:paraId="0694F84C">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2、配1条DDR4 Registered DIMM 64GB 3200MHz;可支持24个内存插槽；</w:t>
            </w:r>
          </w:p>
          <w:p w14:paraId="2D3C6084">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3、标配2*GE+2*10GE网口以太网卡；</w:t>
            </w:r>
          </w:p>
          <w:p w14:paraId="422E0F00">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4、2*480G SSD ，RAID支持 0 1 5 10 可支持配置8块2.5inch托架的SATA/SAS硬盘；</w:t>
            </w:r>
          </w:p>
          <w:p w14:paraId="6F04E8A6">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5、可使用PCIe Riser卡扩展插槽；</w:t>
            </w:r>
          </w:p>
          <w:p w14:paraId="11010611">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6、 N+1个冗余系统风扇；</w:t>
            </w:r>
          </w:p>
          <w:p w14:paraId="1EDC71E6">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7、4个USB（前面2个，后面2个）；</w:t>
            </w:r>
          </w:p>
          <w:p w14:paraId="1E7B5162">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8、集成BMC管理模块，支持IPMI、SOL、KVM Over IP、虚拟媒体等管理特性，对外提供1个10/100Mbps RJ45管理网口；</w:t>
            </w:r>
          </w:p>
          <w:p w14:paraId="2919D15E">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9、支持1+1冗余电源，配1个550W交流电源；无DVD；导轨；2U机架式。</w:t>
            </w:r>
          </w:p>
        </w:tc>
        <w:tc>
          <w:tcPr>
            <w:tcW w:w="364" w:type="pct"/>
            <w:tcBorders>
              <w:top w:val="single" w:color="000000" w:sz="4" w:space="0"/>
              <w:left w:val="single" w:color="000000" w:sz="4" w:space="0"/>
              <w:bottom w:val="single" w:color="000000" w:sz="4" w:space="0"/>
              <w:right w:val="single" w:color="000000" w:sz="4" w:space="0"/>
            </w:tcBorders>
            <w:vAlign w:val="center"/>
          </w:tcPr>
          <w:p w14:paraId="441BAF40">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w:t>
            </w:r>
          </w:p>
        </w:tc>
        <w:tc>
          <w:tcPr>
            <w:tcW w:w="268" w:type="pct"/>
            <w:tcBorders>
              <w:top w:val="single" w:color="000000" w:sz="4" w:space="0"/>
              <w:left w:val="single" w:color="000000" w:sz="4" w:space="0"/>
              <w:bottom w:val="single" w:color="000000" w:sz="4" w:space="0"/>
              <w:right w:val="single" w:color="000000" w:sz="4" w:space="0"/>
            </w:tcBorders>
            <w:vAlign w:val="center"/>
          </w:tcPr>
          <w:p w14:paraId="780FF72C">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16529FF4">
            <w:pPr>
              <w:widowControl/>
              <w:spacing w:line="360" w:lineRule="auto"/>
              <w:jc w:val="center"/>
              <w:textAlignment w:val="center"/>
              <w:rPr>
                <w:rFonts w:hint="eastAsia" w:ascii="仿宋" w:hAnsi="仿宋" w:eastAsia="仿宋" w:cs="仿宋"/>
                <w:kern w:val="0"/>
                <w:sz w:val="24"/>
                <w:highlight w:val="none"/>
                <w:lang w:bidi="ar"/>
              </w:rPr>
            </w:pPr>
          </w:p>
        </w:tc>
      </w:tr>
      <w:tr w14:paraId="489B0F1D">
        <w:tblPrEx>
          <w:tblCellMar>
            <w:top w:w="0" w:type="dxa"/>
            <w:left w:w="108" w:type="dxa"/>
            <w:bottom w:w="0" w:type="dxa"/>
            <w:right w:w="108" w:type="dxa"/>
          </w:tblCellMar>
        </w:tblPrEx>
        <w:trPr>
          <w:trHeight w:val="93"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730DB973">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8</w:t>
            </w:r>
          </w:p>
        </w:tc>
        <w:tc>
          <w:tcPr>
            <w:tcW w:w="540" w:type="pct"/>
            <w:tcBorders>
              <w:top w:val="single" w:color="000000" w:sz="4" w:space="0"/>
              <w:left w:val="single" w:color="000000" w:sz="4" w:space="0"/>
              <w:bottom w:val="single" w:color="000000" w:sz="4" w:space="0"/>
              <w:right w:val="single" w:color="000000" w:sz="4" w:space="0"/>
            </w:tcBorders>
            <w:vAlign w:val="center"/>
          </w:tcPr>
          <w:p w14:paraId="0A4434C7">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多元数字仿真教学平台（核心产品）</w:t>
            </w:r>
          </w:p>
        </w:tc>
        <w:tc>
          <w:tcPr>
            <w:tcW w:w="2773" w:type="pct"/>
            <w:tcBorders>
              <w:top w:val="single" w:color="000000" w:sz="4" w:space="0"/>
              <w:left w:val="single" w:color="000000" w:sz="4" w:space="0"/>
              <w:bottom w:val="single" w:color="000000" w:sz="4" w:space="0"/>
              <w:right w:val="single" w:color="000000" w:sz="4" w:space="0"/>
            </w:tcBorders>
            <w:vAlign w:val="center"/>
          </w:tcPr>
          <w:p w14:paraId="6040C96E">
            <w:pPr>
              <w:widowControl/>
              <w:spacing w:line="360" w:lineRule="auto"/>
              <w:jc w:val="left"/>
              <w:textAlignment w:val="center"/>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bidi="ar"/>
              </w:rPr>
              <w:t>平台系统功能：</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1.平台首页可以展示服务器性能占用情况，至少包含cpu、内存、磁盘、在线人数、启动时间等信息</w:t>
            </w:r>
            <w:r>
              <w:rPr>
                <w:rFonts w:hint="eastAsia" w:ascii="仿宋" w:hAnsi="仿宋" w:eastAsia="仿宋" w:cs="仿宋"/>
                <w:kern w:val="0"/>
                <w:sz w:val="24"/>
                <w:highlight w:val="none"/>
                <w:lang w:eastAsia="zh-CN" w:bidi="ar"/>
              </w:rPr>
              <w:t>；</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2.为保证系统及账号的安全性，账号登陆界面使用验证码进行验证，验证码两分钟更新</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3.系统采用浏览器session会话的保持，默认账号过期时间30分钟，且管理员及教师账号可以看见在线的用户情况</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4.系统支持教师学生账号的批量导入并支持重置密码功能</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5.系统支持角色管理，可以为不同角色用户分配不同的菜单权限</w:t>
            </w:r>
            <w:r>
              <w:rPr>
                <w:rFonts w:hint="eastAsia" w:ascii="仿宋" w:hAnsi="仿宋" w:eastAsia="仿宋" w:cs="仿宋"/>
                <w:kern w:val="0"/>
                <w:sz w:val="24"/>
                <w:highlight w:val="none"/>
                <w:lang w:eastAsia="zh-CN" w:bidi="ar"/>
              </w:rPr>
              <w:t>；</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6.系统支持参数设置，可以修改账号的初始密码、开关验证码、密码最大错误次数及密码错误锁定时间等功能。</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7.系统支持日志管理，可以查看用户的登录情况及登录系统后的操作情况，日志里至少包含用户名、操作地址、操作地点、浏览器、操作系统等信息</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8.系统通过telnet协议与网络设备进行连接控制，并依赖websocket协议进行系统与物理机架的实时交互。</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9.系统实现一键完成物理设备的初始化，能够一键将单台设备，不同机架可选设备或全部机架的设备恢复到出厂状态或某个中间节点状态，</w:t>
            </w:r>
            <w:r>
              <w:rPr>
                <w:rFonts w:hint="eastAsia" w:ascii="仿宋" w:hAnsi="仿宋" w:eastAsia="仿宋" w:cs="仿宋"/>
                <w:b/>
                <w:bCs/>
                <w:color w:val="EE0000"/>
                <w:kern w:val="0"/>
                <w:sz w:val="24"/>
                <w:highlight w:val="none"/>
                <w:lang w:bidi="ar"/>
              </w:rPr>
              <w:t>响应文件提供加盖供应商公章的产品功能截图</w:t>
            </w:r>
            <w:r>
              <w:rPr>
                <w:rFonts w:hint="eastAsia" w:ascii="仿宋" w:hAnsi="仿宋" w:eastAsia="仿宋" w:cs="仿宋"/>
                <w:b/>
                <w:bCs/>
                <w:color w:val="EE0000"/>
                <w:kern w:val="0"/>
                <w:sz w:val="24"/>
                <w:highlight w:val="none"/>
                <w:lang w:eastAsia="zh-CN" w:bidi="ar"/>
              </w:rPr>
              <w:t>。</w:t>
            </w:r>
          </w:p>
          <w:p w14:paraId="53BFAF5A">
            <w:pPr>
              <w:widowControl/>
              <w:numPr>
                <w:ilvl w:val="0"/>
                <w:numId w:val="3"/>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系统支持设备断点重连功能，当telnet链接失效时，可以点击重新链接，重新登陆网络设备，</w:t>
            </w:r>
            <w:r>
              <w:rPr>
                <w:rFonts w:hint="eastAsia" w:ascii="仿宋" w:hAnsi="仿宋" w:eastAsia="仿宋" w:cs="仿宋"/>
                <w:b/>
                <w:bCs/>
                <w:color w:val="EE0000"/>
                <w:kern w:val="0"/>
                <w:sz w:val="24"/>
                <w:highlight w:val="none"/>
                <w:lang w:bidi="ar"/>
              </w:rPr>
              <w:t>响应文件提供加盖供应商公章的产品功能截图</w:t>
            </w:r>
            <w:r>
              <w:rPr>
                <w:rFonts w:hint="eastAsia" w:ascii="仿宋" w:hAnsi="仿宋" w:eastAsia="仿宋" w:cs="仿宋"/>
                <w:b/>
                <w:bCs/>
                <w:color w:val="EE0000"/>
                <w:kern w:val="0"/>
                <w:sz w:val="24"/>
                <w:highlight w:val="none"/>
                <w:lang w:eastAsia="zh-CN" w:bidi="ar"/>
              </w:rPr>
              <w:t>。</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11.平台需兼容管理学校原有的网络实训设备，制造厂商出具相关承诺函并加盖公章</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12.系统支持敏感命令控制，防止用户删除设备系统文件等高危操作。</w:t>
            </w:r>
          </w:p>
          <w:p w14:paraId="3454CE1E">
            <w:pPr>
              <w:widowControl/>
              <w:numPr>
                <w:ilvl w:val="0"/>
                <w:numId w:val="4"/>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系统支持签到功能，教师发起签到后，学生可以点击签到，支持防伪功能，一台电脑只能签到一次。</w:t>
            </w:r>
          </w:p>
          <w:p w14:paraId="7108E0BE">
            <w:pPr>
              <w:widowControl/>
              <w:numPr>
                <w:ilvl w:val="0"/>
                <w:numId w:val="4"/>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用户行为记录，可以查询用户的所有操作行为</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15.系统支持截图功能，且截图不放在电脑本地防止作弊</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16.系统支持访问控制，可以限制某些IP可以访问平台，某些IP不可访问平台。</w:t>
            </w:r>
          </w:p>
          <w:p w14:paraId="47A9F857">
            <w:pPr>
              <w:widowControl/>
              <w:numPr>
                <w:ilvl w:val="0"/>
                <w:numId w:val="0"/>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17.</w:t>
            </w:r>
            <w:r>
              <w:rPr>
                <w:rFonts w:hint="eastAsia" w:ascii="仿宋" w:hAnsi="仿宋" w:eastAsia="仿宋" w:cs="仿宋"/>
                <w:kern w:val="0"/>
                <w:sz w:val="24"/>
                <w:highlight w:val="none"/>
                <w:lang w:bidi="ar"/>
              </w:rPr>
              <w:t>平台支持对网络设备批量下发配置，</w:t>
            </w:r>
            <w:r>
              <w:rPr>
                <w:rFonts w:hint="eastAsia" w:ascii="仿宋" w:hAnsi="仿宋" w:eastAsia="仿宋" w:cs="仿宋"/>
                <w:b/>
                <w:bCs/>
                <w:color w:val="EE0000"/>
                <w:kern w:val="0"/>
                <w:sz w:val="24"/>
                <w:highlight w:val="none"/>
                <w:lang w:bidi="ar"/>
              </w:rPr>
              <w:t>响应文件提供加盖供应商公章的产品功能截图</w:t>
            </w:r>
            <w:r>
              <w:rPr>
                <w:rFonts w:hint="eastAsia" w:ascii="仿宋" w:hAnsi="仿宋" w:eastAsia="仿宋" w:cs="仿宋"/>
                <w:b/>
                <w:bCs/>
                <w:color w:val="EE0000"/>
                <w:kern w:val="0"/>
                <w:sz w:val="24"/>
                <w:highlight w:val="none"/>
                <w:lang w:eastAsia="zh-CN" w:bidi="ar"/>
              </w:rPr>
              <w:t>。</w:t>
            </w:r>
          </w:p>
          <w:p w14:paraId="7A0BB54D">
            <w:pPr>
              <w:widowControl/>
              <w:numPr>
                <w:ilvl w:val="0"/>
                <w:numId w:val="0"/>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18.</w:t>
            </w:r>
            <w:r>
              <w:rPr>
                <w:rFonts w:hint="eastAsia" w:ascii="仿宋" w:hAnsi="仿宋" w:eastAsia="仿宋" w:cs="仿宋"/>
                <w:kern w:val="0"/>
                <w:sz w:val="24"/>
                <w:highlight w:val="none"/>
                <w:lang w:bidi="ar"/>
              </w:rPr>
              <w:t>系统支持显示使用设备的用户名</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19.系统支持web界面一键修改设备IP</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20.支持一问一答对话式问答。</w:t>
            </w:r>
          </w:p>
          <w:p w14:paraId="04AF21C5">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21.系统响应时间≤2秒</w:t>
            </w:r>
          </w:p>
        </w:tc>
        <w:tc>
          <w:tcPr>
            <w:tcW w:w="364" w:type="pct"/>
            <w:tcBorders>
              <w:top w:val="single" w:color="000000" w:sz="4" w:space="0"/>
              <w:left w:val="single" w:color="000000" w:sz="4" w:space="0"/>
              <w:bottom w:val="single" w:color="000000" w:sz="4" w:space="0"/>
              <w:right w:val="single" w:color="000000" w:sz="4" w:space="0"/>
            </w:tcBorders>
            <w:vAlign w:val="center"/>
          </w:tcPr>
          <w:p w14:paraId="37DFA98A">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w:t>
            </w:r>
          </w:p>
        </w:tc>
        <w:tc>
          <w:tcPr>
            <w:tcW w:w="268" w:type="pct"/>
            <w:tcBorders>
              <w:top w:val="single" w:color="000000" w:sz="4" w:space="0"/>
              <w:left w:val="single" w:color="000000" w:sz="4" w:space="0"/>
              <w:bottom w:val="single" w:color="000000" w:sz="4" w:space="0"/>
              <w:right w:val="single" w:color="000000" w:sz="4" w:space="0"/>
            </w:tcBorders>
            <w:vAlign w:val="center"/>
          </w:tcPr>
          <w:p w14:paraId="639731AD">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58CAD3DE">
            <w:pPr>
              <w:widowControl/>
              <w:spacing w:line="360" w:lineRule="auto"/>
              <w:jc w:val="center"/>
              <w:textAlignment w:val="center"/>
              <w:rPr>
                <w:rFonts w:hint="eastAsia" w:ascii="仿宋" w:hAnsi="仿宋" w:eastAsia="仿宋" w:cs="仿宋"/>
                <w:kern w:val="0"/>
                <w:sz w:val="24"/>
                <w:highlight w:val="none"/>
                <w:lang w:bidi="ar"/>
              </w:rPr>
            </w:pPr>
          </w:p>
        </w:tc>
      </w:tr>
      <w:tr w14:paraId="5FDFFDBB">
        <w:tblPrEx>
          <w:tblCellMar>
            <w:top w:w="0" w:type="dxa"/>
            <w:left w:w="108" w:type="dxa"/>
            <w:bottom w:w="0" w:type="dxa"/>
            <w:right w:w="108" w:type="dxa"/>
          </w:tblCellMar>
        </w:tblPrEx>
        <w:trPr>
          <w:trHeight w:val="90"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24F67FD9">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9</w:t>
            </w:r>
          </w:p>
        </w:tc>
        <w:tc>
          <w:tcPr>
            <w:tcW w:w="540" w:type="pct"/>
            <w:tcBorders>
              <w:top w:val="single" w:color="000000" w:sz="4" w:space="0"/>
              <w:left w:val="single" w:color="000000" w:sz="4" w:space="0"/>
              <w:bottom w:val="single" w:color="000000" w:sz="4" w:space="0"/>
              <w:right w:val="single" w:color="000000" w:sz="4" w:space="0"/>
            </w:tcBorders>
            <w:vAlign w:val="center"/>
          </w:tcPr>
          <w:p w14:paraId="4327C31A">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教学管理实训系统（核心产品）</w:t>
            </w:r>
          </w:p>
        </w:tc>
        <w:tc>
          <w:tcPr>
            <w:tcW w:w="2773" w:type="pct"/>
            <w:tcBorders>
              <w:top w:val="single" w:color="000000" w:sz="4" w:space="0"/>
              <w:left w:val="single" w:color="000000" w:sz="4" w:space="0"/>
              <w:bottom w:val="single" w:color="000000" w:sz="4" w:space="0"/>
              <w:right w:val="single" w:color="000000" w:sz="4" w:space="0"/>
            </w:tcBorders>
            <w:vAlign w:val="center"/>
          </w:tcPr>
          <w:p w14:paraId="44BFBC3C">
            <w:pPr>
              <w:widowControl/>
              <w:spacing w:line="360" w:lineRule="auto"/>
              <w:jc w:val="left"/>
              <w:textAlignment w:val="center"/>
              <w:rPr>
                <w:rFonts w:hint="eastAsia" w:ascii="仿宋" w:hAnsi="仿宋" w:eastAsia="仿宋" w:cs="仿宋"/>
                <w:sz w:val="24"/>
                <w:highlight w:val="none"/>
                <w:lang w:eastAsia="zh-CN"/>
              </w:rPr>
            </w:pPr>
            <w:r>
              <w:rPr>
                <w:rFonts w:hint="eastAsia" w:ascii="仿宋" w:hAnsi="仿宋" w:eastAsia="仿宋" w:cs="仿宋"/>
                <w:kern w:val="0"/>
                <w:sz w:val="24"/>
                <w:highlight w:val="none"/>
                <w:lang w:bidi="ar"/>
              </w:rPr>
              <w:t>1.为满足日常定制化授课场景，系统支持自定义课程资源，支持上传pdf、docx及mp4格式的文件</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2.教学系统的逻辑为教学资源-教学章节-教学课件包含关系</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3.为清晰的观看课程资源、课程资源默认按添加时间顺序排列，也可按照数字-字母-汉字的逻辑排序</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4.所有的课程资源支持在线预览</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5.管理员与教师端可以创建课程计划，只有在课程计划时间内，学生才可以看见相关课件，</w:t>
            </w:r>
            <w:r>
              <w:rPr>
                <w:rFonts w:hint="eastAsia" w:ascii="仿宋" w:hAnsi="仿宋" w:eastAsia="仿宋" w:cs="仿宋"/>
                <w:b/>
                <w:bCs/>
                <w:color w:val="EE0000"/>
                <w:kern w:val="0"/>
                <w:sz w:val="24"/>
                <w:highlight w:val="none"/>
                <w:lang w:bidi="ar"/>
              </w:rPr>
              <w:t>响应文件提供加盖供应商公章的产品功能截图</w:t>
            </w:r>
            <w:r>
              <w:rPr>
                <w:rFonts w:hint="eastAsia" w:ascii="仿宋" w:hAnsi="仿宋" w:eastAsia="仿宋" w:cs="仿宋"/>
                <w:b/>
                <w:bCs/>
                <w:color w:val="EE0000"/>
                <w:kern w:val="0"/>
                <w:sz w:val="24"/>
                <w:highlight w:val="none"/>
                <w:lang w:eastAsia="zh-CN" w:bidi="ar"/>
              </w:rPr>
              <w:t>。</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6.课程计划支持复制</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7.在理论及视频课程中，教师学生支持创建课程笔记，同时可以对笔记进行导出，</w:t>
            </w:r>
            <w:r>
              <w:rPr>
                <w:rFonts w:hint="eastAsia" w:ascii="仿宋" w:hAnsi="仿宋" w:eastAsia="仿宋" w:cs="仿宋"/>
                <w:b/>
                <w:bCs/>
                <w:color w:val="EE0000"/>
                <w:kern w:val="0"/>
                <w:sz w:val="24"/>
                <w:highlight w:val="none"/>
                <w:lang w:bidi="ar"/>
              </w:rPr>
              <w:t>响应文件提供加盖供应商公章的产品功能截图</w:t>
            </w:r>
            <w:r>
              <w:rPr>
                <w:rFonts w:hint="eastAsia" w:ascii="仿宋" w:hAnsi="仿宋" w:eastAsia="仿宋" w:cs="仿宋"/>
                <w:b/>
                <w:bCs/>
                <w:color w:val="EE0000"/>
                <w:kern w:val="0"/>
                <w:sz w:val="24"/>
                <w:highlight w:val="none"/>
                <w:lang w:eastAsia="zh-CN" w:bidi="ar"/>
              </w:rPr>
              <w:t>。</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8.系统支持联动三方网络模拟器，完成学生的日常教学，</w:t>
            </w:r>
            <w:r>
              <w:rPr>
                <w:rFonts w:hint="eastAsia" w:ascii="仿宋" w:hAnsi="仿宋" w:eastAsia="仿宋" w:cs="仿宋"/>
                <w:b/>
                <w:bCs/>
                <w:color w:val="EE0000"/>
                <w:kern w:val="0"/>
                <w:sz w:val="24"/>
                <w:highlight w:val="none"/>
                <w:lang w:bidi="ar"/>
              </w:rPr>
              <w:t>响应文件提供加盖供应商公章的产品功能截图</w:t>
            </w:r>
            <w:r>
              <w:rPr>
                <w:rFonts w:hint="eastAsia" w:ascii="仿宋" w:hAnsi="仿宋" w:eastAsia="仿宋" w:cs="仿宋"/>
                <w:b/>
                <w:bCs/>
                <w:color w:val="EE0000"/>
                <w:kern w:val="0"/>
                <w:sz w:val="24"/>
                <w:highlight w:val="none"/>
                <w:lang w:eastAsia="zh-CN" w:bidi="ar"/>
              </w:rPr>
              <w:t>。</w:t>
            </w:r>
            <w:r>
              <w:rPr>
                <w:rFonts w:hint="eastAsia" w:ascii="仿宋" w:hAnsi="仿宋" w:eastAsia="仿宋" w:cs="仿宋"/>
                <w:kern w:val="0"/>
                <w:sz w:val="24"/>
                <w:highlight w:val="none"/>
                <w:lang w:bidi="ar"/>
              </w:rPr>
              <w:br w:type="textWrapping"/>
            </w:r>
            <w:r>
              <w:rPr>
                <w:rFonts w:hint="eastAsia" w:ascii="仿宋" w:hAnsi="仿宋" w:eastAsia="仿宋" w:cs="仿宋"/>
                <w:kern w:val="0"/>
                <w:sz w:val="24"/>
                <w:highlight w:val="none"/>
                <w:lang w:bidi="ar"/>
              </w:rPr>
              <w:t>9.包含三方模拟器的服务部署服务，教师可以通过三方模拟器查看学生的实验情况</w:t>
            </w:r>
            <w:r>
              <w:rPr>
                <w:rFonts w:hint="eastAsia" w:ascii="仿宋" w:hAnsi="仿宋" w:eastAsia="仿宋" w:cs="仿宋"/>
                <w:kern w:val="0"/>
                <w:sz w:val="24"/>
                <w:highlight w:val="none"/>
                <w:lang w:eastAsia="zh-CN" w:bidi="ar"/>
              </w:rPr>
              <w:t>。</w:t>
            </w:r>
          </w:p>
        </w:tc>
        <w:tc>
          <w:tcPr>
            <w:tcW w:w="364" w:type="pct"/>
            <w:tcBorders>
              <w:top w:val="single" w:color="000000" w:sz="4" w:space="0"/>
              <w:left w:val="single" w:color="000000" w:sz="4" w:space="0"/>
              <w:bottom w:val="single" w:color="000000" w:sz="4" w:space="0"/>
              <w:right w:val="single" w:color="000000" w:sz="4" w:space="0"/>
            </w:tcBorders>
            <w:vAlign w:val="center"/>
          </w:tcPr>
          <w:p w14:paraId="1E7358DD">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w:t>
            </w:r>
          </w:p>
        </w:tc>
        <w:tc>
          <w:tcPr>
            <w:tcW w:w="268" w:type="pct"/>
            <w:tcBorders>
              <w:top w:val="single" w:color="000000" w:sz="4" w:space="0"/>
              <w:left w:val="single" w:color="000000" w:sz="4" w:space="0"/>
              <w:bottom w:val="single" w:color="000000" w:sz="4" w:space="0"/>
              <w:right w:val="single" w:color="000000" w:sz="4" w:space="0"/>
            </w:tcBorders>
            <w:vAlign w:val="center"/>
          </w:tcPr>
          <w:p w14:paraId="4C166AC9">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17524816">
            <w:pPr>
              <w:widowControl/>
              <w:spacing w:line="360" w:lineRule="auto"/>
              <w:jc w:val="center"/>
              <w:textAlignment w:val="center"/>
              <w:rPr>
                <w:rFonts w:hint="eastAsia" w:ascii="仿宋" w:hAnsi="仿宋" w:eastAsia="仿宋" w:cs="仿宋"/>
                <w:kern w:val="0"/>
                <w:sz w:val="24"/>
                <w:highlight w:val="none"/>
                <w:lang w:bidi="ar"/>
              </w:rPr>
            </w:pPr>
          </w:p>
        </w:tc>
      </w:tr>
      <w:tr w14:paraId="4AA69E95">
        <w:tblPrEx>
          <w:tblCellMar>
            <w:top w:w="0" w:type="dxa"/>
            <w:left w:w="108" w:type="dxa"/>
            <w:bottom w:w="0" w:type="dxa"/>
            <w:right w:w="108" w:type="dxa"/>
          </w:tblCellMar>
        </w:tblPrEx>
        <w:trPr>
          <w:trHeight w:val="90"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4A41E017">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w:t>
            </w:r>
          </w:p>
        </w:tc>
        <w:tc>
          <w:tcPr>
            <w:tcW w:w="540" w:type="pct"/>
            <w:tcBorders>
              <w:top w:val="single" w:color="000000" w:sz="4" w:space="0"/>
              <w:left w:val="single" w:color="000000" w:sz="4" w:space="0"/>
              <w:bottom w:val="single" w:color="000000" w:sz="4" w:space="0"/>
              <w:right w:val="single" w:color="000000" w:sz="4" w:space="0"/>
            </w:tcBorders>
            <w:vAlign w:val="center"/>
          </w:tcPr>
          <w:p w14:paraId="2416F4D0">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Cs w:val="21"/>
                <w:highlight w:val="none"/>
                <w:lang w:bidi="ar"/>
              </w:rPr>
              <w:t>交换路由教学授权点</w:t>
            </w:r>
          </w:p>
        </w:tc>
        <w:tc>
          <w:tcPr>
            <w:tcW w:w="2773" w:type="pct"/>
            <w:tcBorders>
              <w:top w:val="single" w:color="000000" w:sz="4" w:space="0"/>
              <w:left w:val="single" w:color="000000" w:sz="4" w:space="0"/>
              <w:bottom w:val="single" w:color="000000" w:sz="4" w:space="0"/>
              <w:right w:val="single" w:color="000000" w:sz="4" w:space="0"/>
            </w:tcBorders>
            <w:vAlign w:val="center"/>
          </w:tcPr>
          <w:p w14:paraId="166B0F40">
            <w:pPr>
              <w:widowControl/>
              <w:numPr>
                <w:ilvl w:val="0"/>
                <w:numId w:val="0"/>
              </w:numPr>
              <w:spacing w:line="360" w:lineRule="auto"/>
              <w:jc w:val="left"/>
              <w:textAlignment w:val="center"/>
              <w:rPr>
                <w:rFonts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1.</w:t>
            </w:r>
            <w:r>
              <w:rPr>
                <w:rFonts w:ascii="仿宋" w:hAnsi="仿宋" w:eastAsia="仿宋" w:cs="仿宋"/>
                <w:kern w:val="0"/>
                <w:sz w:val="24"/>
                <w:highlight w:val="none"/>
                <w:lang w:bidi="ar"/>
              </w:rPr>
              <w:t>实验文档必须含拓扑图、配置命令、验证步骤等。</w:t>
            </w:r>
          </w:p>
          <w:p w14:paraId="5CFFCD58">
            <w:pPr>
              <w:widowControl/>
              <w:numPr>
                <w:ilvl w:val="0"/>
                <w:numId w:val="0"/>
              </w:numPr>
              <w:spacing w:line="360" w:lineRule="auto"/>
              <w:jc w:val="left"/>
              <w:textAlignment w:val="center"/>
              <w:rPr>
                <w:rFonts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2.</w:t>
            </w:r>
            <w:r>
              <w:rPr>
                <w:rFonts w:ascii="仿宋" w:hAnsi="仿宋" w:eastAsia="仿宋" w:cs="仿宋"/>
                <w:kern w:val="0"/>
                <w:sz w:val="24"/>
                <w:highlight w:val="none"/>
                <w:lang w:bidi="ar"/>
              </w:rPr>
              <w:t>覆盖网络基础、交换、路由、VPN、组网冗余全系列网络技术。</w:t>
            </w:r>
          </w:p>
          <w:p w14:paraId="49B0A32E">
            <w:pPr>
              <w:widowControl/>
              <w:numPr>
                <w:ilvl w:val="0"/>
                <w:numId w:val="0"/>
              </w:numPr>
              <w:spacing w:line="360" w:lineRule="auto"/>
              <w:jc w:val="left"/>
              <w:textAlignment w:val="center"/>
              <w:rPr>
                <w:rFonts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3.</w:t>
            </w:r>
            <w:r>
              <w:rPr>
                <w:rFonts w:ascii="仿宋" w:hAnsi="仿宋" w:eastAsia="仿宋" w:cs="仿宋"/>
                <w:kern w:val="0"/>
                <w:sz w:val="24"/>
                <w:highlight w:val="none"/>
                <w:lang w:bidi="ar"/>
              </w:rPr>
              <w:t>包含静态路由、OSPF、BGP、NAT、MSTP、VRRP、IPSEC 等主流技术实验。</w:t>
            </w:r>
          </w:p>
          <w:p w14:paraId="558D2B82">
            <w:pPr>
              <w:widowControl/>
              <w:numPr>
                <w:ilvl w:val="0"/>
                <w:numId w:val="0"/>
              </w:numPr>
              <w:spacing w:line="360" w:lineRule="auto"/>
              <w:jc w:val="left"/>
              <w:textAlignment w:val="center"/>
              <w:rPr>
                <w:rFonts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4.</w:t>
            </w:r>
            <w:r>
              <w:rPr>
                <w:rFonts w:ascii="仿宋" w:hAnsi="仿宋" w:eastAsia="仿宋" w:cs="仿宋"/>
                <w:kern w:val="0"/>
                <w:sz w:val="24"/>
                <w:highlight w:val="none"/>
                <w:lang w:bidi="ar"/>
              </w:rPr>
              <w:t>文档内容适配院校 ICT 实训、课堂授课、技能考核场景使用。</w:t>
            </w:r>
          </w:p>
          <w:p w14:paraId="064C4CBA">
            <w:pPr>
              <w:widowControl/>
              <w:spacing w:line="360" w:lineRule="auto"/>
              <w:jc w:val="left"/>
              <w:textAlignment w:val="center"/>
              <w:rPr>
                <w:rFonts w:hint="eastAsia" w:ascii="仿宋" w:hAnsi="仿宋" w:eastAsia="仿宋" w:cs="仿宋"/>
                <w:kern w:val="0"/>
                <w:sz w:val="24"/>
                <w:highlight w:val="none"/>
                <w:lang w:bidi="ar"/>
              </w:rPr>
            </w:pPr>
            <w:r>
              <w:rPr>
                <w:rFonts w:ascii="仿宋" w:hAnsi="仿宋" w:eastAsia="仿宋" w:cs="仿宋"/>
                <w:kern w:val="0"/>
                <w:sz w:val="24"/>
                <w:highlight w:val="none"/>
                <w:lang w:bidi="ar"/>
              </w:rPr>
              <w:t>所有实验配置命令适配国内主流交换机、路由器设备，无小众私有指令</w:t>
            </w:r>
          </w:p>
        </w:tc>
        <w:tc>
          <w:tcPr>
            <w:tcW w:w="364" w:type="pct"/>
            <w:tcBorders>
              <w:top w:val="single" w:color="000000" w:sz="4" w:space="0"/>
              <w:left w:val="single" w:color="000000" w:sz="4" w:space="0"/>
              <w:bottom w:val="single" w:color="000000" w:sz="4" w:space="0"/>
              <w:right w:val="single" w:color="000000" w:sz="4" w:space="0"/>
            </w:tcBorders>
            <w:vAlign w:val="center"/>
          </w:tcPr>
          <w:p w14:paraId="02C6CC82">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100</w:t>
            </w:r>
          </w:p>
        </w:tc>
        <w:tc>
          <w:tcPr>
            <w:tcW w:w="268" w:type="pct"/>
            <w:tcBorders>
              <w:top w:val="single" w:color="000000" w:sz="4" w:space="0"/>
              <w:left w:val="single" w:color="000000" w:sz="4" w:space="0"/>
              <w:bottom w:val="single" w:color="000000" w:sz="4" w:space="0"/>
              <w:right w:val="single" w:color="000000" w:sz="4" w:space="0"/>
            </w:tcBorders>
            <w:vAlign w:val="center"/>
          </w:tcPr>
          <w:p w14:paraId="60588305">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1E29191D">
            <w:pPr>
              <w:widowControl/>
              <w:spacing w:line="360" w:lineRule="auto"/>
              <w:jc w:val="center"/>
              <w:textAlignment w:val="center"/>
              <w:rPr>
                <w:rFonts w:hint="eastAsia" w:ascii="仿宋" w:hAnsi="仿宋" w:eastAsia="仿宋" w:cs="仿宋"/>
                <w:kern w:val="0"/>
                <w:sz w:val="24"/>
                <w:highlight w:val="none"/>
                <w:lang w:bidi="ar"/>
              </w:rPr>
            </w:pPr>
          </w:p>
        </w:tc>
      </w:tr>
      <w:tr w14:paraId="47A65BE2">
        <w:tblPrEx>
          <w:tblCellMar>
            <w:top w:w="0" w:type="dxa"/>
            <w:left w:w="108" w:type="dxa"/>
            <w:bottom w:w="0" w:type="dxa"/>
            <w:right w:w="108" w:type="dxa"/>
          </w:tblCellMar>
        </w:tblPrEx>
        <w:trPr>
          <w:trHeight w:val="90"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69B5EB08">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11</w:t>
            </w:r>
          </w:p>
        </w:tc>
        <w:tc>
          <w:tcPr>
            <w:tcW w:w="540" w:type="pct"/>
            <w:tcBorders>
              <w:top w:val="single" w:color="000000" w:sz="4" w:space="0"/>
              <w:left w:val="single" w:color="000000" w:sz="4" w:space="0"/>
              <w:bottom w:val="single" w:color="000000" w:sz="4" w:space="0"/>
              <w:right w:val="single" w:color="000000" w:sz="4" w:space="0"/>
            </w:tcBorders>
            <w:vAlign w:val="center"/>
          </w:tcPr>
          <w:p w14:paraId="1CB89177">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无线教学授权点</w:t>
            </w:r>
          </w:p>
        </w:tc>
        <w:tc>
          <w:tcPr>
            <w:tcW w:w="2773" w:type="pct"/>
            <w:tcBorders>
              <w:top w:val="single" w:color="000000" w:sz="4" w:space="0"/>
              <w:left w:val="single" w:color="000000" w:sz="4" w:space="0"/>
              <w:bottom w:val="single" w:color="000000" w:sz="4" w:space="0"/>
              <w:right w:val="single" w:color="000000" w:sz="4" w:space="0"/>
            </w:tcBorders>
            <w:vAlign w:val="center"/>
          </w:tcPr>
          <w:p w14:paraId="2ABC276D">
            <w:pPr>
              <w:widowControl/>
              <w:numPr>
                <w:ilvl w:val="0"/>
                <w:numId w:val="0"/>
              </w:numPr>
              <w:spacing w:line="360" w:lineRule="auto"/>
              <w:jc w:val="left"/>
              <w:textAlignment w:val="center"/>
              <w:rPr>
                <w:rFonts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1.</w:t>
            </w:r>
            <w:r>
              <w:rPr>
                <w:rFonts w:ascii="仿宋" w:hAnsi="仿宋" w:eastAsia="仿宋" w:cs="仿宋"/>
                <w:kern w:val="0"/>
                <w:sz w:val="24"/>
                <w:highlight w:val="none"/>
                <w:lang w:bidi="ar"/>
              </w:rPr>
              <w:t>资源覆盖无线基础、AP 模式、AC 组网、无线漫游、认证、勘测、优化安全全体系 WLAN 技术。</w:t>
            </w:r>
          </w:p>
          <w:p w14:paraId="060D3A74">
            <w:pPr>
              <w:widowControl/>
              <w:numPr>
                <w:ilvl w:val="0"/>
                <w:numId w:val="0"/>
              </w:numPr>
              <w:spacing w:line="360" w:lineRule="auto"/>
              <w:jc w:val="left"/>
              <w:textAlignment w:val="center"/>
              <w:rPr>
                <w:rFonts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2.</w:t>
            </w:r>
            <w:r>
              <w:rPr>
                <w:rFonts w:ascii="仿宋" w:hAnsi="仿宋" w:eastAsia="仿宋" w:cs="仿宋"/>
                <w:kern w:val="0"/>
                <w:sz w:val="24"/>
                <w:highlight w:val="none"/>
                <w:lang w:bidi="ar"/>
              </w:rPr>
              <w:t>实验文档包含组网拓扑、配置命令、验证步骤。</w:t>
            </w:r>
          </w:p>
          <w:p w14:paraId="29E2DD0F">
            <w:pPr>
              <w:widowControl/>
              <w:numPr>
                <w:ilvl w:val="0"/>
                <w:numId w:val="0"/>
              </w:numPr>
              <w:spacing w:line="360" w:lineRule="auto"/>
              <w:jc w:val="left"/>
              <w:textAlignment w:val="center"/>
              <w:rPr>
                <w:rFonts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3.</w:t>
            </w:r>
            <w:r>
              <w:rPr>
                <w:rFonts w:ascii="仿宋" w:hAnsi="仿宋" w:eastAsia="仿宋" w:cs="仿宋"/>
                <w:kern w:val="0"/>
                <w:sz w:val="24"/>
                <w:highlight w:val="none"/>
                <w:lang w:bidi="ar"/>
              </w:rPr>
              <w:t>内容涵盖 FAT/FIT AP、AC冗余、漫游、认证、射频优化等主流技术。</w:t>
            </w:r>
          </w:p>
          <w:p w14:paraId="49ACDBB5">
            <w:pPr>
              <w:widowControl/>
              <w:numPr>
                <w:ilvl w:val="0"/>
                <w:numId w:val="0"/>
              </w:numPr>
              <w:spacing w:line="360" w:lineRule="auto"/>
              <w:jc w:val="left"/>
              <w:textAlignment w:val="center"/>
              <w:rPr>
                <w:rFonts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4.</w:t>
            </w:r>
            <w:r>
              <w:rPr>
                <w:rFonts w:ascii="仿宋" w:hAnsi="仿宋" w:eastAsia="仿宋" w:cs="仿宋"/>
                <w:kern w:val="0"/>
                <w:sz w:val="24"/>
                <w:highlight w:val="none"/>
                <w:lang w:bidi="ar"/>
              </w:rPr>
              <w:t>包含无线勘测专项内容，配套勘测原则、风险评估、勘测软件操作教学文档。</w:t>
            </w:r>
          </w:p>
          <w:p w14:paraId="0D4E546D">
            <w:pPr>
              <w:widowControl/>
              <w:spacing w:line="360" w:lineRule="auto"/>
              <w:jc w:val="left"/>
              <w:textAlignment w:val="center"/>
              <w:rPr>
                <w:rFonts w:hint="eastAsia" w:ascii="仿宋" w:hAnsi="仿宋" w:eastAsia="仿宋" w:cs="仿宋"/>
                <w:kern w:val="0"/>
                <w:sz w:val="24"/>
                <w:highlight w:val="none"/>
                <w:lang w:bidi="ar"/>
              </w:rPr>
            </w:pPr>
            <w:r>
              <w:rPr>
                <w:rFonts w:ascii="仿宋" w:hAnsi="仿宋" w:eastAsia="仿宋" w:cs="仿宋"/>
                <w:kern w:val="0"/>
                <w:sz w:val="24"/>
                <w:highlight w:val="none"/>
                <w:lang w:bidi="ar"/>
              </w:rPr>
              <w:t>适配主流国产网络设备命令行，实训配置指令通用，无私有小众命令</w:t>
            </w:r>
          </w:p>
        </w:tc>
        <w:tc>
          <w:tcPr>
            <w:tcW w:w="364" w:type="pct"/>
            <w:tcBorders>
              <w:top w:val="single" w:color="000000" w:sz="4" w:space="0"/>
              <w:left w:val="single" w:color="000000" w:sz="4" w:space="0"/>
              <w:bottom w:val="single" w:color="000000" w:sz="4" w:space="0"/>
              <w:right w:val="single" w:color="000000" w:sz="4" w:space="0"/>
            </w:tcBorders>
            <w:vAlign w:val="center"/>
          </w:tcPr>
          <w:p w14:paraId="191BDE4A">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100</w:t>
            </w:r>
          </w:p>
        </w:tc>
        <w:tc>
          <w:tcPr>
            <w:tcW w:w="268" w:type="pct"/>
            <w:tcBorders>
              <w:top w:val="single" w:color="000000" w:sz="4" w:space="0"/>
              <w:left w:val="single" w:color="000000" w:sz="4" w:space="0"/>
              <w:bottom w:val="single" w:color="000000" w:sz="4" w:space="0"/>
              <w:right w:val="single" w:color="000000" w:sz="4" w:space="0"/>
            </w:tcBorders>
            <w:vAlign w:val="center"/>
          </w:tcPr>
          <w:p w14:paraId="5CBE002D">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780927D8">
            <w:pPr>
              <w:widowControl/>
              <w:spacing w:line="360" w:lineRule="auto"/>
              <w:jc w:val="center"/>
              <w:textAlignment w:val="center"/>
              <w:rPr>
                <w:rFonts w:hint="eastAsia" w:ascii="仿宋" w:hAnsi="仿宋" w:eastAsia="仿宋" w:cs="仿宋"/>
                <w:kern w:val="0"/>
                <w:sz w:val="24"/>
                <w:highlight w:val="none"/>
                <w:lang w:bidi="ar"/>
              </w:rPr>
            </w:pPr>
          </w:p>
        </w:tc>
      </w:tr>
      <w:tr w14:paraId="2B310A8E">
        <w:tblPrEx>
          <w:tblCellMar>
            <w:top w:w="0" w:type="dxa"/>
            <w:left w:w="108" w:type="dxa"/>
            <w:bottom w:w="0" w:type="dxa"/>
            <w:right w:w="108" w:type="dxa"/>
          </w:tblCellMar>
        </w:tblPrEx>
        <w:trPr>
          <w:trHeight w:val="95"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77FC3D8B">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12</w:t>
            </w:r>
          </w:p>
        </w:tc>
        <w:tc>
          <w:tcPr>
            <w:tcW w:w="540" w:type="pct"/>
            <w:tcBorders>
              <w:top w:val="single" w:color="000000" w:sz="4" w:space="0"/>
              <w:left w:val="single" w:color="000000" w:sz="4" w:space="0"/>
              <w:bottom w:val="single" w:color="000000" w:sz="4" w:space="0"/>
              <w:right w:val="single" w:color="000000" w:sz="4" w:space="0"/>
            </w:tcBorders>
            <w:vAlign w:val="center"/>
          </w:tcPr>
          <w:p w14:paraId="246938DB">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网络安全教学授权点</w:t>
            </w:r>
          </w:p>
        </w:tc>
        <w:tc>
          <w:tcPr>
            <w:tcW w:w="2773" w:type="pct"/>
            <w:tcBorders>
              <w:top w:val="single" w:color="000000" w:sz="4" w:space="0"/>
              <w:left w:val="single" w:color="000000" w:sz="4" w:space="0"/>
              <w:bottom w:val="single" w:color="000000" w:sz="4" w:space="0"/>
              <w:right w:val="single" w:color="000000" w:sz="4" w:space="0"/>
            </w:tcBorders>
            <w:vAlign w:val="center"/>
          </w:tcPr>
          <w:p w14:paraId="189A7962">
            <w:pPr>
              <w:widowControl/>
              <w:numPr>
                <w:ilvl w:val="0"/>
                <w:numId w:val="0"/>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1.</w:t>
            </w:r>
            <w:r>
              <w:rPr>
                <w:rFonts w:hint="eastAsia" w:ascii="仿宋" w:hAnsi="仿宋" w:eastAsia="仿宋" w:cs="仿宋"/>
                <w:kern w:val="0"/>
                <w:sz w:val="24"/>
                <w:highlight w:val="none"/>
                <w:lang w:bidi="ar"/>
              </w:rPr>
              <w:t>包含VPN、链路探测、路由、VRRP、负载均衡等组网实训。</w:t>
            </w:r>
          </w:p>
          <w:p w14:paraId="117DDA1D">
            <w:pPr>
              <w:widowControl/>
              <w:numPr>
                <w:ilvl w:val="0"/>
                <w:numId w:val="0"/>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2.</w:t>
            </w:r>
            <w:r>
              <w:rPr>
                <w:rFonts w:hint="eastAsia" w:ascii="仿宋" w:hAnsi="仿宋" w:eastAsia="仿宋" w:cs="仿宋"/>
                <w:kern w:val="0"/>
                <w:sz w:val="24"/>
                <w:highlight w:val="none"/>
                <w:lang w:bidi="ar"/>
              </w:rPr>
              <w:t>提供 VRRP、HA 双机热备高可用冗余部署实训，满足防火墙集群教学需求。</w:t>
            </w:r>
          </w:p>
          <w:p w14:paraId="577F3D16">
            <w:pPr>
              <w:widowControl/>
              <w:numPr>
                <w:ilvl w:val="0"/>
                <w:numId w:val="0"/>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3.</w:t>
            </w:r>
            <w:r>
              <w:rPr>
                <w:rFonts w:hint="eastAsia" w:ascii="仿宋" w:hAnsi="仿宋" w:eastAsia="仿宋" w:cs="仿宋"/>
                <w:kern w:val="0"/>
                <w:sz w:val="24"/>
                <w:highlight w:val="none"/>
                <w:lang w:bidi="ar"/>
              </w:rPr>
              <w:t>所有实训文档命令行适配主流防火墙设备，步骤标准化，可直接上机实操</w:t>
            </w:r>
          </w:p>
          <w:p w14:paraId="337C54CD">
            <w:pPr>
              <w:widowControl/>
              <w:numPr>
                <w:ilvl w:val="0"/>
                <w:numId w:val="0"/>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4.</w:t>
            </w:r>
            <w:r>
              <w:rPr>
                <w:rFonts w:hint="eastAsia" w:ascii="仿宋" w:hAnsi="仿宋" w:eastAsia="仿宋" w:cs="仿宋"/>
                <w:kern w:val="0"/>
                <w:sz w:val="24"/>
                <w:highlight w:val="none"/>
                <w:lang w:bidi="ar"/>
              </w:rPr>
              <w:t>文档内置高清组网拓扑图，矢量无模糊，适配教室投影、大屏课堂展示</w:t>
            </w:r>
          </w:p>
          <w:p w14:paraId="0C12007C">
            <w:pPr>
              <w:widowControl/>
              <w:numPr>
                <w:ilvl w:val="0"/>
                <w:numId w:val="0"/>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5.</w:t>
            </w:r>
            <w:r>
              <w:rPr>
                <w:rFonts w:hint="eastAsia" w:ascii="仿宋" w:hAnsi="仿宋" w:eastAsia="仿宋" w:cs="仿宋"/>
                <w:kern w:val="0"/>
                <w:sz w:val="24"/>
                <w:highlight w:val="none"/>
                <w:lang w:bidi="ar"/>
              </w:rPr>
              <w:t>包含 DDoS 攻击防御专项实训，覆盖流量限流、异常数据包拦截配置教程</w:t>
            </w:r>
          </w:p>
          <w:p w14:paraId="30336A16">
            <w:pPr>
              <w:widowControl/>
              <w:numPr>
                <w:ilvl w:val="0"/>
                <w:numId w:val="0"/>
              </w:numPr>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6.</w:t>
            </w:r>
            <w:r>
              <w:rPr>
                <w:rFonts w:hint="eastAsia" w:ascii="仿宋" w:hAnsi="仿宋" w:eastAsia="仿宋" w:cs="仿宋"/>
                <w:kern w:val="0"/>
                <w:sz w:val="24"/>
                <w:highlight w:val="none"/>
                <w:lang w:bidi="ar"/>
              </w:rPr>
              <w:t>内置 URL 分类过滤、网页关键字过滤、邮件内容审计完整操作流程</w:t>
            </w:r>
          </w:p>
          <w:p w14:paraId="4765B8C5">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7</w:t>
            </w:r>
            <w:r>
              <w:rPr>
                <w:rFonts w:hint="eastAsia" w:ascii="仿宋" w:hAnsi="仿宋" w:eastAsia="仿宋" w:cs="仿宋"/>
                <w:kern w:val="0"/>
                <w:sz w:val="24"/>
                <w:highlight w:val="none"/>
                <w:lang w:bidi="ar"/>
              </w:rPr>
              <w:t>.windows操作系统安全配置课程实验视频内容包括系统安装、网络环境部署、域控制器安装及加入域、LAN路由服务、dhcp服务、域相关组策略服务、DNS服务、NAT地址转换、raid5服务、iSC</w:t>
            </w:r>
            <w:r>
              <w:rPr>
                <w:rFonts w:ascii="仿宋" w:hAnsi="仿宋" w:eastAsia="仿宋" w:cs="仿宋"/>
                <w:kern w:val="0"/>
                <w:sz w:val="24"/>
                <w:highlight w:val="none"/>
                <w:lang w:bidi="ar"/>
              </w:rPr>
              <w:t>SI</w:t>
            </w:r>
            <w:r>
              <w:rPr>
                <w:rFonts w:hint="eastAsia" w:ascii="仿宋" w:hAnsi="仿宋" w:eastAsia="仿宋" w:cs="仿宋"/>
                <w:kern w:val="0"/>
                <w:sz w:val="24"/>
                <w:highlight w:val="none"/>
                <w:lang w:bidi="ar"/>
              </w:rPr>
              <w:t>服务、DFS服务、用户漫游文件、web</w:t>
            </w:r>
            <w:r>
              <w:rPr>
                <w:rFonts w:ascii="仿宋" w:hAnsi="仿宋" w:eastAsia="仿宋" w:cs="仿宋"/>
                <w:kern w:val="0"/>
                <w:sz w:val="24"/>
                <w:highlight w:val="none"/>
                <w:lang w:bidi="ar"/>
              </w:rPr>
              <w:t xml:space="preserve"> </w:t>
            </w:r>
            <w:r>
              <w:rPr>
                <w:rFonts w:hint="eastAsia" w:ascii="仿宋" w:hAnsi="仿宋" w:eastAsia="仿宋" w:cs="仿宋"/>
                <w:kern w:val="0"/>
                <w:sz w:val="24"/>
                <w:highlight w:val="none"/>
                <w:lang w:bidi="ar"/>
              </w:rPr>
              <w:t>print服务、IIS</w:t>
            </w:r>
            <w:r>
              <w:rPr>
                <w:rFonts w:ascii="仿宋" w:hAnsi="仿宋" w:eastAsia="仿宋" w:cs="仿宋"/>
                <w:kern w:val="0"/>
                <w:sz w:val="24"/>
                <w:highlight w:val="none"/>
                <w:lang w:bidi="ar"/>
              </w:rPr>
              <w:t xml:space="preserve"> </w:t>
            </w:r>
            <w:r>
              <w:rPr>
                <w:rFonts w:hint="eastAsia" w:ascii="仿宋" w:hAnsi="仿宋" w:eastAsia="仿宋" w:cs="仿宋"/>
                <w:kern w:val="0"/>
                <w:sz w:val="24"/>
                <w:highlight w:val="none"/>
                <w:lang w:bidi="ar"/>
              </w:rPr>
              <w:t>web站点部署、ftp服务</w:t>
            </w:r>
            <w:r>
              <w:rPr>
                <w:rFonts w:ascii="仿宋" w:hAnsi="仿宋" w:eastAsia="仿宋" w:cs="仿宋"/>
                <w:kern w:val="0"/>
                <w:sz w:val="24"/>
                <w:highlight w:val="none"/>
                <w:lang w:bidi="ar"/>
              </w:rPr>
              <w:t>、</w:t>
            </w:r>
            <w:r>
              <w:rPr>
                <w:rFonts w:hint="eastAsia" w:ascii="仿宋" w:hAnsi="仿宋" w:eastAsia="仿宋" w:cs="仿宋"/>
                <w:kern w:val="0"/>
                <w:sz w:val="24"/>
                <w:highlight w:val="none"/>
                <w:lang w:bidi="ar"/>
              </w:rPr>
              <w:t>NCSI服务、PPTP</w:t>
            </w:r>
            <w:r>
              <w:rPr>
                <w:rFonts w:ascii="仿宋" w:hAnsi="仿宋" w:eastAsia="仿宋" w:cs="仿宋"/>
                <w:kern w:val="0"/>
                <w:sz w:val="24"/>
                <w:highlight w:val="none"/>
                <w:lang w:bidi="ar"/>
              </w:rPr>
              <w:t xml:space="preserve"> </w:t>
            </w:r>
            <w:r>
              <w:rPr>
                <w:rFonts w:hint="eastAsia" w:ascii="仿宋" w:hAnsi="仿宋" w:eastAsia="仿宋" w:cs="仿宋"/>
                <w:kern w:val="0"/>
                <w:sz w:val="24"/>
                <w:highlight w:val="none"/>
                <w:lang w:bidi="ar"/>
              </w:rPr>
              <w:t>VPN对接NPS、l2tp</w:t>
            </w:r>
            <w:r>
              <w:rPr>
                <w:rFonts w:ascii="仿宋" w:hAnsi="仿宋" w:eastAsia="仿宋" w:cs="仿宋"/>
                <w:kern w:val="0"/>
                <w:sz w:val="24"/>
                <w:highlight w:val="none"/>
                <w:lang w:bidi="ar"/>
              </w:rPr>
              <w:t xml:space="preserve"> </w:t>
            </w:r>
            <w:r>
              <w:rPr>
                <w:rFonts w:hint="eastAsia" w:ascii="仿宋" w:hAnsi="仿宋" w:eastAsia="仿宋" w:cs="仿宋"/>
                <w:kern w:val="0"/>
                <w:sz w:val="24"/>
                <w:highlight w:val="none"/>
                <w:lang w:bidi="ar"/>
              </w:rPr>
              <w:t>VPN证书验证对接NPS、SSTP</w:t>
            </w:r>
            <w:r>
              <w:rPr>
                <w:rFonts w:ascii="仿宋" w:hAnsi="仿宋" w:eastAsia="仿宋" w:cs="仿宋"/>
                <w:kern w:val="0"/>
                <w:sz w:val="24"/>
                <w:highlight w:val="none"/>
                <w:lang w:bidi="ar"/>
              </w:rPr>
              <w:t xml:space="preserve"> </w:t>
            </w:r>
            <w:r>
              <w:rPr>
                <w:rFonts w:hint="eastAsia" w:ascii="仿宋" w:hAnsi="仿宋" w:eastAsia="仿宋" w:cs="仿宋"/>
                <w:kern w:val="0"/>
                <w:sz w:val="24"/>
                <w:highlight w:val="none"/>
                <w:lang w:bidi="ar"/>
              </w:rPr>
              <w:t>VPN对接NPS、RDS</w:t>
            </w:r>
            <w:r>
              <w:rPr>
                <w:rFonts w:ascii="仿宋" w:hAnsi="仿宋" w:eastAsia="仿宋" w:cs="仿宋"/>
                <w:kern w:val="0"/>
                <w:sz w:val="24"/>
                <w:highlight w:val="none"/>
                <w:lang w:bidi="ar"/>
              </w:rPr>
              <w:t xml:space="preserve"> </w:t>
            </w:r>
            <w:r>
              <w:rPr>
                <w:rFonts w:hint="eastAsia" w:ascii="仿宋" w:hAnsi="仿宋" w:eastAsia="仿宋" w:cs="仿宋"/>
                <w:kern w:val="0"/>
                <w:sz w:val="24"/>
                <w:highlight w:val="none"/>
                <w:lang w:bidi="ar"/>
              </w:rPr>
              <w:t>remote-app部署、NTP服务、WSUS部署</w:t>
            </w:r>
            <w:r>
              <w:rPr>
                <w:rFonts w:ascii="仿宋" w:hAnsi="仿宋" w:eastAsia="仿宋" w:cs="仿宋"/>
                <w:kern w:val="0"/>
                <w:sz w:val="24"/>
                <w:highlight w:val="none"/>
                <w:lang w:bidi="ar"/>
              </w:rPr>
              <w:t>。</w:t>
            </w:r>
          </w:p>
        </w:tc>
        <w:tc>
          <w:tcPr>
            <w:tcW w:w="364" w:type="pct"/>
            <w:tcBorders>
              <w:top w:val="single" w:color="000000" w:sz="4" w:space="0"/>
              <w:left w:val="single" w:color="000000" w:sz="4" w:space="0"/>
              <w:bottom w:val="single" w:color="000000" w:sz="4" w:space="0"/>
              <w:right w:val="single" w:color="000000" w:sz="4" w:space="0"/>
            </w:tcBorders>
            <w:vAlign w:val="center"/>
          </w:tcPr>
          <w:p w14:paraId="327CCAE8">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100</w:t>
            </w:r>
          </w:p>
        </w:tc>
        <w:tc>
          <w:tcPr>
            <w:tcW w:w="268" w:type="pct"/>
            <w:tcBorders>
              <w:top w:val="single" w:color="000000" w:sz="4" w:space="0"/>
              <w:left w:val="single" w:color="000000" w:sz="4" w:space="0"/>
              <w:bottom w:val="single" w:color="000000" w:sz="4" w:space="0"/>
              <w:right w:val="single" w:color="000000" w:sz="4" w:space="0"/>
            </w:tcBorders>
            <w:vAlign w:val="center"/>
          </w:tcPr>
          <w:p w14:paraId="5EF8B812">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6CE9C86D">
            <w:pPr>
              <w:widowControl/>
              <w:spacing w:line="360" w:lineRule="auto"/>
              <w:jc w:val="center"/>
              <w:textAlignment w:val="center"/>
              <w:rPr>
                <w:rFonts w:hint="eastAsia" w:ascii="仿宋" w:hAnsi="仿宋" w:eastAsia="仿宋" w:cs="仿宋"/>
                <w:kern w:val="0"/>
                <w:sz w:val="24"/>
                <w:highlight w:val="none"/>
                <w:lang w:bidi="ar"/>
              </w:rPr>
            </w:pPr>
          </w:p>
        </w:tc>
      </w:tr>
      <w:tr w14:paraId="663CE7C5">
        <w:tblPrEx>
          <w:tblCellMar>
            <w:top w:w="0" w:type="dxa"/>
            <w:left w:w="108" w:type="dxa"/>
            <w:bottom w:w="0" w:type="dxa"/>
            <w:right w:w="108" w:type="dxa"/>
          </w:tblCellMar>
        </w:tblPrEx>
        <w:trPr>
          <w:trHeight w:val="90"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2BA049F4">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13</w:t>
            </w:r>
          </w:p>
        </w:tc>
        <w:tc>
          <w:tcPr>
            <w:tcW w:w="540" w:type="pct"/>
            <w:tcBorders>
              <w:top w:val="single" w:color="000000" w:sz="4" w:space="0"/>
              <w:left w:val="single" w:color="000000" w:sz="4" w:space="0"/>
              <w:bottom w:val="single" w:color="000000" w:sz="4" w:space="0"/>
              <w:right w:val="single" w:color="000000" w:sz="4" w:space="0"/>
            </w:tcBorders>
            <w:vAlign w:val="center"/>
          </w:tcPr>
          <w:p w14:paraId="6155D1D4">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桌椅</w:t>
            </w:r>
          </w:p>
        </w:tc>
        <w:tc>
          <w:tcPr>
            <w:tcW w:w="2773" w:type="pct"/>
            <w:tcBorders>
              <w:top w:val="single" w:color="000000" w:sz="4" w:space="0"/>
              <w:left w:val="single" w:color="000000" w:sz="4" w:space="0"/>
              <w:bottom w:val="single" w:color="000000" w:sz="4" w:space="0"/>
              <w:right w:val="single" w:color="000000" w:sz="4" w:space="0"/>
            </w:tcBorders>
            <w:vAlign w:val="center"/>
          </w:tcPr>
          <w:p w14:paraId="78124BA3">
            <w:pPr>
              <w:widowControl/>
              <w:spacing w:line="360" w:lineRule="auto"/>
              <w:jc w:val="left"/>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val="en-US" w:eastAsia="zh-CN" w:bidi="ar"/>
              </w:rPr>
              <w:t>1、</w:t>
            </w:r>
            <w:r>
              <w:rPr>
                <w:rFonts w:hint="eastAsia" w:ascii="仿宋" w:hAnsi="仿宋" w:eastAsia="仿宋" w:cs="仿宋"/>
                <w:kern w:val="0"/>
                <w:sz w:val="24"/>
                <w:highlight w:val="none"/>
                <w:lang w:bidi="ar"/>
              </w:rPr>
              <w:t>六边桌钢木结构，六角桌子，对角线2360MM,高度750MM，外边长1180MM，桌面为23MME1级环保材料颗粒板，颜色任意选择。桌面材料为优质双贴三聚氰胺板。桌面带有走线孔。桌身为钢制结构，可放置主机箱，主机箱由25*25*1.0镀锌钢管和裸板0.7MM钢板，外表静电喷涂而成。</w:t>
            </w:r>
          </w:p>
          <w:p w14:paraId="02F1764E">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val="en-US" w:eastAsia="zh-CN" w:bidi="ar"/>
              </w:rPr>
              <w:t>2</w:t>
            </w:r>
            <w:r>
              <w:rPr>
                <w:rFonts w:hint="eastAsia" w:ascii="仿宋" w:hAnsi="仿宋" w:eastAsia="仿宋" w:cs="仿宋"/>
                <w:kern w:val="0"/>
                <w:sz w:val="24"/>
                <w:highlight w:val="none"/>
                <w:lang w:bidi="ar"/>
              </w:rPr>
              <w:t>、配套椅子：11厘实心钢筋，电镀架子，坐背使用全新塑料pp，坐垫软包使用全新纯棉足1分厚，尺寸：48×48×78</w:t>
            </w:r>
          </w:p>
        </w:tc>
        <w:tc>
          <w:tcPr>
            <w:tcW w:w="364" w:type="pct"/>
            <w:tcBorders>
              <w:top w:val="single" w:color="000000" w:sz="4" w:space="0"/>
              <w:left w:val="single" w:color="000000" w:sz="4" w:space="0"/>
              <w:bottom w:val="single" w:color="000000" w:sz="4" w:space="0"/>
              <w:right w:val="single" w:color="000000" w:sz="4" w:space="0"/>
            </w:tcBorders>
            <w:vAlign w:val="center"/>
          </w:tcPr>
          <w:p w14:paraId="0175237C">
            <w:pPr>
              <w:widowControl/>
              <w:spacing w:line="360" w:lineRule="auto"/>
              <w:jc w:val="center"/>
              <w:textAlignment w:val="center"/>
              <w:rPr>
                <w:rFonts w:hint="eastAsia" w:ascii="仿宋" w:hAnsi="仿宋" w:eastAsia="仿宋" w:cs="仿宋"/>
                <w:sz w:val="24"/>
                <w:highlight w:val="none"/>
                <w:lang w:eastAsia="zh-CN"/>
              </w:rPr>
            </w:pPr>
            <w:r>
              <w:rPr>
                <w:rFonts w:hint="eastAsia" w:ascii="仿宋" w:hAnsi="仿宋" w:eastAsia="仿宋" w:cs="仿宋"/>
                <w:kern w:val="0"/>
                <w:sz w:val="24"/>
                <w:highlight w:val="none"/>
                <w:lang w:val="en-US" w:eastAsia="zh-CN" w:bidi="ar"/>
              </w:rPr>
              <w:t>4</w:t>
            </w:r>
          </w:p>
        </w:tc>
        <w:tc>
          <w:tcPr>
            <w:tcW w:w="268" w:type="pct"/>
            <w:tcBorders>
              <w:top w:val="single" w:color="000000" w:sz="4" w:space="0"/>
              <w:left w:val="single" w:color="000000" w:sz="4" w:space="0"/>
              <w:bottom w:val="single" w:color="000000" w:sz="4" w:space="0"/>
              <w:right w:val="single" w:color="000000" w:sz="4" w:space="0"/>
            </w:tcBorders>
            <w:vAlign w:val="center"/>
          </w:tcPr>
          <w:p w14:paraId="440E912A">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7AD096EE">
            <w:pPr>
              <w:widowControl/>
              <w:spacing w:line="360" w:lineRule="auto"/>
              <w:jc w:val="both"/>
              <w:textAlignment w:val="center"/>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eastAsia="zh-CN" w:bidi="ar"/>
              </w:rPr>
              <w:drawing>
                <wp:inline distT="0" distB="0" distL="114300" distR="114300">
                  <wp:extent cx="1459230" cy="975360"/>
                  <wp:effectExtent l="0" t="0" r="7620" b="15240"/>
                  <wp:docPr id="2" name="图片 2" descr="f382e56e8ddcc3a17b39082662898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382e56e8ddcc3a17b39082662898158"/>
                          <pic:cNvPicPr>
                            <a:picLocks noChangeAspect="1"/>
                          </pic:cNvPicPr>
                        </pic:nvPicPr>
                        <pic:blipFill>
                          <a:blip r:embed="rId5"/>
                          <a:stretch>
                            <a:fillRect/>
                          </a:stretch>
                        </pic:blipFill>
                        <pic:spPr>
                          <a:xfrm>
                            <a:off x="0" y="0"/>
                            <a:ext cx="1459230" cy="975360"/>
                          </a:xfrm>
                          <a:prstGeom prst="rect">
                            <a:avLst/>
                          </a:prstGeom>
                        </pic:spPr>
                      </pic:pic>
                    </a:graphicData>
                  </a:graphic>
                </wp:inline>
              </w:drawing>
            </w:r>
          </w:p>
        </w:tc>
      </w:tr>
      <w:tr w14:paraId="23334990">
        <w:tblPrEx>
          <w:tblCellMar>
            <w:top w:w="0" w:type="dxa"/>
            <w:left w:w="108" w:type="dxa"/>
            <w:bottom w:w="0" w:type="dxa"/>
            <w:right w:w="108" w:type="dxa"/>
          </w:tblCellMar>
        </w:tblPrEx>
        <w:trPr>
          <w:trHeight w:val="90"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450A400C">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14</w:t>
            </w:r>
          </w:p>
        </w:tc>
        <w:tc>
          <w:tcPr>
            <w:tcW w:w="540" w:type="pct"/>
            <w:tcBorders>
              <w:top w:val="single" w:color="000000" w:sz="4" w:space="0"/>
              <w:left w:val="single" w:color="000000" w:sz="4" w:space="0"/>
              <w:bottom w:val="single" w:color="000000" w:sz="4" w:space="0"/>
              <w:right w:val="single" w:color="000000" w:sz="4" w:space="0"/>
            </w:tcBorders>
            <w:vAlign w:val="center"/>
          </w:tcPr>
          <w:p w14:paraId="75F4E01D">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防火隔墙</w:t>
            </w:r>
          </w:p>
        </w:tc>
        <w:tc>
          <w:tcPr>
            <w:tcW w:w="2773" w:type="pct"/>
            <w:tcBorders>
              <w:top w:val="single" w:color="000000" w:sz="4" w:space="0"/>
              <w:left w:val="single" w:color="000000" w:sz="4" w:space="0"/>
              <w:bottom w:val="single" w:color="000000" w:sz="4" w:space="0"/>
              <w:right w:val="single" w:color="000000" w:sz="4" w:space="0"/>
            </w:tcBorders>
            <w:vAlign w:val="center"/>
          </w:tcPr>
          <w:p w14:paraId="4D9FF95A">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隔墙总体厚度5公分。外层镀锌彩涂钢板，厚度0.4公分。中间防火岩棉，密度100K。</w:t>
            </w:r>
          </w:p>
        </w:tc>
        <w:tc>
          <w:tcPr>
            <w:tcW w:w="364" w:type="pct"/>
            <w:tcBorders>
              <w:top w:val="single" w:color="000000" w:sz="4" w:space="0"/>
              <w:left w:val="single" w:color="000000" w:sz="4" w:space="0"/>
              <w:bottom w:val="single" w:color="000000" w:sz="4" w:space="0"/>
              <w:right w:val="single" w:color="000000" w:sz="4" w:space="0"/>
            </w:tcBorders>
            <w:vAlign w:val="center"/>
          </w:tcPr>
          <w:p w14:paraId="5E47D433">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w:t>
            </w:r>
          </w:p>
        </w:tc>
        <w:tc>
          <w:tcPr>
            <w:tcW w:w="268" w:type="pct"/>
            <w:tcBorders>
              <w:top w:val="single" w:color="000000" w:sz="4" w:space="0"/>
              <w:left w:val="single" w:color="000000" w:sz="4" w:space="0"/>
              <w:bottom w:val="single" w:color="000000" w:sz="4" w:space="0"/>
              <w:right w:val="single" w:color="000000" w:sz="4" w:space="0"/>
            </w:tcBorders>
            <w:vAlign w:val="center"/>
          </w:tcPr>
          <w:p w14:paraId="7E1D3348">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4482C499">
            <w:pPr>
              <w:widowControl/>
              <w:spacing w:line="360" w:lineRule="auto"/>
              <w:jc w:val="center"/>
              <w:textAlignment w:val="center"/>
              <w:rPr>
                <w:rFonts w:hint="eastAsia" w:ascii="仿宋" w:hAnsi="仿宋" w:eastAsia="仿宋" w:cs="仿宋"/>
                <w:kern w:val="0"/>
                <w:sz w:val="24"/>
                <w:highlight w:val="none"/>
                <w:lang w:bidi="ar"/>
              </w:rPr>
            </w:pPr>
          </w:p>
        </w:tc>
      </w:tr>
      <w:tr w14:paraId="7917B50E">
        <w:tblPrEx>
          <w:tblCellMar>
            <w:top w:w="0" w:type="dxa"/>
            <w:left w:w="108" w:type="dxa"/>
            <w:bottom w:w="0" w:type="dxa"/>
            <w:right w:w="108" w:type="dxa"/>
          </w:tblCellMar>
        </w:tblPrEx>
        <w:trPr>
          <w:trHeight w:val="90"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43FAAA09">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15</w:t>
            </w:r>
          </w:p>
        </w:tc>
        <w:tc>
          <w:tcPr>
            <w:tcW w:w="540" w:type="pct"/>
            <w:tcBorders>
              <w:top w:val="single" w:color="000000" w:sz="4" w:space="0"/>
              <w:left w:val="single" w:color="000000" w:sz="4" w:space="0"/>
              <w:bottom w:val="single" w:color="000000" w:sz="4" w:space="0"/>
              <w:right w:val="single" w:color="000000" w:sz="4" w:space="0"/>
            </w:tcBorders>
            <w:vAlign w:val="center"/>
          </w:tcPr>
          <w:p w14:paraId="48B3D71D">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宣传幕墙</w:t>
            </w:r>
          </w:p>
        </w:tc>
        <w:tc>
          <w:tcPr>
            <w:tcW w:w="2773" w:type="pct"/>
            <w:tcBorders>
              <w:top w:val="single" w:color="000000" w:sz="4" w:space="0"/>
              <w:left w:val="single" w:color="000000" w:sz="4" w:space="0"/>
              <w:bottom w:val="single" w:color="000000" w:sz="4" w:space="0"/>
              <w:right w:val="single" w:color="000000" w:sz="4" w:space="0"/>
            </w:tcBorders>
            <w:vAlign w:val="center"/>
          </w:tcPr>
          <w:p w14:paraId="6F6FA17C">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喷绘幕墙：油画布挂画：100cm*400cm，10幅</w:t>
            </w:r>
            <w:r>
              <w:rPr>
                <w:rFonts w:hint="eastAsia" w:ascii="仿宋" w:hAnsi="仿宋" w:eastAsia="仿宋" w:cs="仿宋"/>
                <w:kern w:val="0"/>
                <w:sz w:val="24"/>
                <w:highlight w:val="none"/>
                <w:lang w:eastAsia="zh-CN" w:bidi="ar"/>
              </w:rPr>
              <w:t>，</w:t>
            </w:r>
            <w:r>
              <w:rPr>
                <w:rFonts w:hint="eastAsia" w:ascii="仿宋" w:hAnsi="仿宋" w:eastAsia="仿宋" w:cs="仿宋"/>
                <w:kern w:val="0"/>
                <w:sz w:val="24"/>
                <w:highlight w:val="none"/>
                <w:lang w:val="en-US" w:eastAsia="zh-CN" w:bidi="ar"/>
              </w:rPr>
              <w:t>内容由采购人确定后再制作。</w:t>
            </w:r>
          </w:p>
        </w:tc>
        <w:tc>
          <w:tcPr>
            <w:tcW w:w="364" w:type="pct"/>
            <w:tcBorders>
              <w:top w:val="single" w:color="000000" w:sz="4" w:space="0"/>
              <w:left w:val="single" w:color="000000" w:sz="4" w:space="0"/>
              <w:bottom w:val="single" w:color="000000" w:sz="4" w:space="0"/>
              <w:right w:val="single" w:color="000000" w:sz="4" w:space="0"/>
            </w:tcBorders>
            <w:vAlign w:val="center"/>
          </w:tcPr>
          <w:p w14:paraId="576515BA">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w:t>
            </w:r>
          </w:p>
        </w:tc>
        <w:tc>
          <w:tcPr>
            <w:tcW w:w="268" w:type="pct"/>
            <w:tcBorders>
              <w:top w:val="single" w:color="000000" w:sz="4" w:space="0"/>
              <w:left w:val="single" w:color="000000" w:sz="4" w:space="0"/>
              <w:bottom w:val="single" w:color="000000" w:sz="4" w:space="0"/>
              <w:right w:val="single" w:color="000000" w:sz="4" w:space="0"/>
            </w:tcBorders>
            <w:vAlign w:val="center"/>
          </w:tcPr>
          <w:p w14:paraId="0472ADEC">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219A64AC">
            <w:pPr>
              <w:widowControl/>
              <w:spacing w:line="360" w:lineRule="auto"/>
              <w:jc w:val="center"/>
              <w:textAlignment w:val="center"/>
              <w:rPr>
                <w:rFonts w:hint="eastAsia" w:ascii="仿宋" w:hAnsi="仿宋" w:eastAsia="仿宋" w:cs="仿宋"/>
                <w:kern w:val="0"/>
                <w:sz w:val="24"/>
                <w:highlight w:val="none"/>
                <w:lang w:bidi="ar"/>
              </w:rPr>
            </w:pPr>
          </w:p>
        </w:tc>
      </w:tr>
      <w:tr w14:paraId="3254777F">
        <w:tblPrEx>
          <w:tblCellMar>
            <w:top w:w="0" w:type="dxa"/>
            <w:left w:w="108" w:type="dxa"/>
            <w:bottom w:w="0" w:type="dxa"/>
            <w:right w:w="108" w:type="dxa"/>
          </w:tblCellMar>
        </w:tblPrEx>
        <w:trPr>
          <w:trHeight w:val="90"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4DE6FB99">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16</w:t>
            </w:r>
          </w:p>
        </w:tc>
        <w:tc>
          <w:tcPr>
            <w:tcW w:w="540" w:type="pct"/>
            <w:tcBorders>
              <w:top w:val="single" w:color="000000" w:sz="4" w:space="0"/>
              <w:left w:val="single" w:color="000000" w:sz="4" w:space="0"/>
              <w:bottom w:val="single" w:color="000000" w:sz="4" w:space="0"/>
              <w:right w:val="single" w:color="000000" w:sz="4" w:space="0"/>
            </w:tcBorders>
            <w:vAlign w:val="center"/>
          </w:tcPr>
          <w:p w14:paraId="23BE6979">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机柜</w:t>
            </w:r>
          </w:p>
        </w:tc>
        <w:tc>
          <w:tcPr>
            <w:tcW w:w="2773" w:type="pct"/>
            <w:tcBorders>
              <w:top w:val="single" w:color="000000" w:sz="4" w:space="0"/>
              <w:left w:val="single" w:color="000000" w:sz="4" w:space="0"/>
              <w:bottom w:val="single" w:color="000000" w:sz="4" w:space="0"/>
              <w:right w:val="single" w:color="000000" w:sz="4" w:space="0"/>
            </w:tcBorders>
            <w:vAlign w:val="center"/>
          </w:tcPr>
          <w:p w14:paraId="28BC0AF1">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32U机柜，尺寸600*1000*1600</w:t>
            </w:r>
          </w:p>
        </w:tc>
        <w:tc>
          <w:tcPr>
            <w:tcW w:w="364" w:type="pct"/>
            <w:tcBorders>
              <w:top w:val="single" w:color="000000" w:sz="4" w:space="0"/>
              <w:left w:val="single" w:color="000000" w:sz="4" w:space="0"/>
              <w:bottom w:val="single" w:color="000000" w:sz="4" w:space="0"/>
              <w:right w:val="single" w:color="000000" w:sz="4" w:space="0"/>
            </w:tcBorders>
            <w:vAlign w:val="center"/>
          </w:tcPr>
          <w:p w14:paraId="166A2E3F">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2</w:t>
            </w:r>
          </w:p>
        </w:tc>
        <w:tc>
          <w:tcPr>
            <w:tcW w:w="268" w:type="pct"/>
            <w:tcBorders>
              <w:top w:val="single" w:color="000000" w:sz="4" w:space="0"/>
              <w:left w:val="single" w:color="000000" w:sz="4" w:space="0"/>
              <w:bottom w:val="single" w:color="000000" w:sz="4" w:space="0"/>
              <w:right w:val="single" w:color="000000" w:sz="4" w:space="0"/>
            </w:tcBorders>
            <w:vAlign w:val="center"/>
          </w:tcPr>
          <w:p w14:paraId="438E0BA1">
            <w:pPr>
              <w:widowControl/>
              <w:spacing w:line="360" w:lineRule="auto"/>
              <w:jc w:val="center"/>
              <w:textAlignment w:val="center"/>
              <w:rPr>
                <w:rFonts w:hint="eastAsia" w:ascii="仿宋" w:hAnsi="仿宋" w:eastAsia="仿宋" w:cs="仿宋"/>
                <w:kern w:val="0"/>
                <w:sz w:val="24"/>
                <w:highlight w:val="none"/>
                <w:lang w:bidi="ar"/>
              </w:rPr>
            </w:pPr>
            <w:r>
              <w:rPr>
                <w:rFonts w:hint="eastAsia" w:ascii="仿宋" w:hAnsi="仿宋" w:eastAsia="仿宋" w:cs="仿宋"/>
                <w:kern w:val="0"/>
                <w:sz w:val="24"/>
                <w:highlight w:val="none"/>
                <w:lang w:bidi="ar"/>
              </w:rPr>
              <w:t>套</w:t>
            </w:r>
          </w:p>
        </w:tc>
        <w:tc>
          <w:tcPr>
            <w:tcW w:w="842" w:type="pct"/>
            <w:tcBorders>
              <w:top w:val="single" w:color="000000" w:sz="4" w:space="0"/>
              <w:left w:val="single" w:color="000000" w:sz="4" w:space="0"/>
              <w:bottom w:val="single" w:color="000000" w:sz="4" w:space="0"/>
              <w:right w:val="single" w:color="000000" w:sz="4" w:space="0"/>
            </w:tcBorders>
            <w:vAlign w:val="center"/>
          </w:tcPr>
          <w:p w14:paraId="1B934025">
            <w:pPr>
              <w:widowControl/>
              <w:spacing w:line="360" w:lineRule="auto"/>
              <w:jc w:val="center"/>
              <w:textAlignment w:val="center"/>
              <w:rPr>
                <w:rFonts w:hint="eastAsia" w:ascii="仿宋" w:hAnsi="仿宋" w:eastAsia="仿宋" w:cs="仿宋"/>
                <w:kern w:val="0"/>
                <w:sz w:val="24"/>
                <w:highlight w:val="none"/>
                <w:lang w:bidi="ar"/>
              </w:rPr>
            </w:pPr>
          </w:p>
        </w:tc>
      </w:tr>
      <w:tr w14:paraId="65682290">
        <w:tblPrEx>
          <w:tblCellMar>
            <w:top w:w="0" w:type="dxa"/>
            <w:left w:w="108" w:type="dxa"/>
            <w:bottom w:w="0" w:type="dxa"/>
            <w:right w:w="108" w:type="dxa"/>
          </w:tblCellMar>
        </w:tblPrEx>
        <w:trPr>
          <w:trHeight w:val="90" w:hRule="atLeast"/>
        </w:trPr>
        <w:tc>
          <w:tcPr>
            <w:tcW w:w="211" w:type="pct"/>
            <w:tcBorders>
              <w:top w:val="single" w:color="000000" w:sz="4" w:space="0"/>
              <w:left w:val="single" w:color="000000" w:sz="4" w:space="0"/>
              <w:bottom w:val="single" w:color="000000" w:sz="4" w:space="0"/>
              <w:right w:val="single" w:color="000000" w:sz="4" w:space="0"/>
            </w:tcBorders>
            <w:vAlign w:val="center"/>
          </w:tcPr>
          <w:p w14:paraId="621F5162">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17</w:t>
            </w:r>
          </w:p>
        </w:tc>
        <w:tc>
          <w:tcPr>
            <w:tcW w:w="540" w:type="pct"/>
            <w:tcBorders>
              <w:top w:val="single" w:color="000000" w:sz="4" w:space="0"/>
              <w:left w:val="single" w:color="000000" w:sz="4" w:space="0"/>
              <w:bottom w:val="single" w:color="000000" w:sz="4" w:space="0"/>
              <w:right w:val="single" w:color="000000" w:sz="4" w:space="0"/>
            </w:tcBorders>
            <w:vAlign w:val="center"/>
          </w:tcPr>
          <w:p w14:paraId="2245B3F0">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安装布线</w:t>
            </w:r>
          </w:p>
        </w:tc>
        <w:tc>
          <w:tcPr>
            <w:tcW w:w="2773" w:type="pct"/>
            <w:tcBorders>
              <w:top w:val="single" w:color="000000" w:sz="4" w:space="0"/>
              <w:left w:val="single" w:color="000000" w:sz="4" w:space="0"/>
              <w:bottom w:val="single" w:color="000000" w:sz="4" w:space="0"/>
              <w:right w:val="single" w:color="000000" w:sz="4" w:space="0"/>
            </w:tcBorders>
            <w:vAlign w:val="center"/>
          </w:tcPr>
          <w:p w14:paraId="6A3FD1EE">
            <w:pPr>
              <w:widowControl/>
              <w:spacing w:line="360" w:lineRule="auto"/>
              <w:jc w:val="left"/>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房间布线、设备上架等</w:t>
            </w:r>
          </w:p>
        </w:tc>
        <w:tc>
          <w:tcPr>
            <w:tcW w:w="364" w:type="pct"/>
            <w:tcBorders>
              <w:top w:val="single" w:color="000000" w:sz="4" w:space="0"/>
              <w:left w:val="single" w:color="000000" w:sz="4" w:space="0"/>
              <w:bottom w:val="single" w:color="000000" w:sz="4" w:space="0"/>
              <w:right w:val="single" w:color="000000" w:sz="4" w:space="0"/>
            </w:tcBorders>
            <w:vAlign w:val="center"/>
          </w:tcPr>
          <w:p w14:paraId="77CDF8F8">
            <w:pPr>
              <w:widowControl/>
              <w:spacing w:line="360" w:lineRule="auto"/>
              <w:jc w:val="center"/>
              <w:textAlignment w:val="center"/>
              <w:rPr>
                <w:rFonts w:hint="eastAsia" w:ascii="仿宋" w:hAnsi="仿宋" w:eastAsia="仿宋" w:cs="仿宋"/>
                <w:sz w:val="24"/>
                <w:highlight w:val="none"/>
              </w:rPr>
            </w:pPr>
            <w:r>
              <w:rPr>
                <w:rFonts w:hint="eastAsia" w:ascii="仿宋" w:hAnsi="仿宋" w:eastAsia="仿宋" w:cs="仿宋"/>
                <w:kern w:val="0"/>
                <w:sz w:val="24"/>
                <w:highlight w:val="none"/>
                <w:lang w:bidi="ar"/>
              </w:rPr>
              <w:t>1</w:t>
            </w:r>
          </w:p>
        </w:tc>
        <w:tc>
          <w:tcPr>
            <w:tcW w:w="268" w:type="pct"/>
            <w:tcBorders>
              <w:top w:val="single" w:color="000000" w:sz="4" w:space="0"/>
              <w:left w:val="single" w:color="000000" w:sz="4" w:space="0"/>
              <w:bottom w:val="single" w:color="000000" w:sz="4" w:space="0"/>
              <w:right w:val="single" w:color="000000" w:sz="4" w:space="0"/>
            </w:tcBorders>
            <w:vAlign w:val="center"/>
          </w:tcPr>
          <w:p w14:paraId="630143B1">
            <w:pPr>
              <w:widowControl/>
              <w:spacing w:line="360" w:lineRule="auto"/>
              <w:jc w:val="center"/>
              <w:textAlignment w:val="center"/>
              <w:rPr>
                <w:rFonts w:hint="eastAsia" w:ascii="仿宋" w:hAnsi="仿宋" w:eastAsia="仿宋" w:cs="仿宋"/>
                <w:kern w:val="0"/>
                <w:sz w:val="24"/>
                <w:highlight w:val="none"/>
                <w:lang w:eastAsia="zh-CN" w:bidi="ar"/>
              </w:rPr>
            </w:pPr>
            <w:r>
              <w:rPr>
                <w:rFonts w:hint="eastAsia" w:ascii="仿宋" w:hAnsi="仿宋" w:eastAsia="仿宋" w:cs="仿宋"/>
                <w:kern w:val="0"/>
                <w:sz w:val="24"/>
                <w:highlight w:val="none"/>
                <w:lang w:val="en-US" w:eastAsia="zh-CN" w:bidi="ar"/>
              </w:rPr>
              <w:t>项</w:t>
            </w:r>
          </w:p>
        </w:tc>
        <w:tc>
          <w:tcPr>
            <w:tcW w:w="842" w:type="pct"/>
            <w:tcBorders>
              <w:top w:val="single" w:color="000000" w:sz="4" w:space="0"/>
              <w:left w:val="single" w:color="000000" w:sz="4" w:space="0"/>
              <w:bottom w:val="single" w:color="000000" w:sz="4" w:space="0"/>
              <w:right w:val="single" w:color="000000" w:sz="4" w:space="0"/>
            </w:tcBorders>
            <w:vAlign w:val="center"/>
          </w:tcPr>
          <w:p w14:paraId="3C53C860">
            <w:pPr>
              <w:widowControl/>
              <w:spacing w:line="360" w:lineRule="auto"/>
              <w:jc w:val="center"/>
              <w:textAlignment w:val="center"/>
              <w:rPr>
                <w:rFonts w:hint="eastAsia" w:ascii="仿宋" w:hAnsi="仿宋" w:eastAsia="仿宋" w:cs="仿宋"/>
                <w:kern w:val="0"/>
                <w:sz w:val="24"/>
                <w:highlight w:val="none"/>
                <w:lang w:val="en-US" w:eastAsia="zh-CN" w:bidi="ar"/>
              </w:rPr>
            </w:pPr>
          </w:p>
        </w:tc>
      </w:tr>
    </w:tbl>
    <w:p w14:paraId="70B83AE1">
      <w:pPr>
        <w:spacing w:line="360" w:lineRule="auto"/>
        <w:rPr>
          <w:rFonts w:hint="eastAsia" w:ascii="仿宋" w:hAnsi="仿宋" w:eastAsia="仿宋" w:cs="仿宋"/>
          <w:b/>
          <w:bCs/>
          <w:sz w:val="24"/>
          <w:highlight w:val="none"/>
        </w:rPr>
      </w:pPr>
      <w:r>
        <w:rPr>
          <w:rFonts w:hint="eastAsia" w:ascii="仿宋" w:hAnsi="仿宋" w:eastAsia="仿宋" w:cs="仿宋"/>
          <w:b/>
          <w:bCs/>
          <w:sz w:val="24"/>
          <w:highlight w:val="none"/>
        </w:rPr>
        <w:t>注：1、以上技术条款为最低指标，响应人必须全部响应(满足或优于技术要求)；</w:t>
      </w:r>
    </w:p>
    <w:p w14:paraId="6BBEDF53">
      <w:pPr>
        <w:spacing w:line="360" w:lineRule="auto"/>
        <w:rPr>
          <w:rFonts w:hint="eastAsia" w:ascii="仿宋" w:hAnsi="仿宋" w:eastAsia="仿宋" w:cs="仿宋"/>
          <w:b/>
          <w:bCs/>
          <w:sz w:val="24"/>
          <w:highlight w:val="none"/>
        </w:rPr>
        <w:sectPr>
          <w:pgSz w:w="16838" w:h="11906" w:orient="landscape"/>
          <w:pgMar w:top="1803" w:right="1440" w:bottom="1803" w:left="1440" w:header="851" w:footer="992" w:gutter="0"/>
          <w:cols w:space="0" w:num="1"/>
          <w:rtlGutter w:val="0"/>
          <w:docGrid w:type="lines" w:linePitch="319" w:charSpace="0"/>
        </w:sectPr>
      </w:pPr>
      <w:r>
        <w:rPr>
          <w:rFonts w:hint="eastAsia" w:ascii="仿宋" w:hAnsi="仿宋" w:eastAsia="仿宋" w:cs="仿宋"/>
          <w:b/>
          <w:bCs/>
          <w:sz w:val="24"/>
          <w:highlight w:val="none"/>
        </w:rPr>
        <w:t>2、技术要求中有公差的按技术要求中的公差标准为准，没有的验收时最大尺寸偏差为±5%。</w:t>
      </w:r>
    </w:p>
    <w:p w14:paraId="48E1CE5D">
      <w:pPr>
        <w:rPr>
          <w:rFonts w:hint="eastAsia" w:ascii="仿宋" w:hAnsi="仿宋" w:eastAsia="仿宋" w:cs="仿宋"/>
          <w:sz w:val="28"/>
          <w:szCs w:val="28"/>
          <w:highlight w:val="none"/>
          <w:lang w:eastAsia="zh-CN"/>
        </w:rPr>
      </w:pPr>
      <w:r>
        <w:rPr>
          <w:rFonts w:hint="eastAsia" w:ascii="仿宋" w:hAnsi="仿宋" w:eastAsia="仿宋" w:cs="仿宋"/>
          <w:b/>
          <w:bCs/>
          <w:sz w:val="28"/>
          <w:szCs w:val="28"/>
          <w:highlight w:val="none"/>
        </w:rPr>
        <w:t>（二）商务</w:t>
      </w:r>
      <w:r>
        <w:rPr>
          <w:rFonts w:hint="eastAsia" w:ascii="仿宋" w:hAnsi="仿宋" w:eastAsia="仿宋" w:cs="仿宋"/>
          <w:b/>
          <w:bCs/>
          <w:sz w:val="28"/>
          <w:szCs w:val="28"/>
          <w:highlight w:val="none"/>
          <w:lang w:val="en-US" w:eastAsia="zh-CN"/>
        </w:rPr>
        <w:t>条款</w:t>
      </w:r>
    </w:p>
    <w:p w14:paraId="3B0DECC6">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本次采购的所有产品均为全新的,未经使用的，技术先进的产品，并且产品质量和各项性能指标必须满足国家和相关行业现行标准；不得用假冒及伪劣产品替代，如出现质量问题使用单位有权退货；如造成损失的，使用单位可要求成交人给予赔偿。</w:t>
      </w:r>
    </w:p>
    <w:p w14:paraId="16727A8C">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2.响应货物的安装、检测、验收等，应执行现行的国家标准、部颁标准、行业标准或通用国际标准。</w:t>
      </w:r>
    </w:p>
    <w:p w14:paraId="23BD578A">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3.验收：</w:t>
      </w:r>
    </w:p>
    <w:p w14:paraId="65EE37C7">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（1）交付验收标准：依次序对照适用标准为：</w:t>
      </w:r>
    </w:p>
    <w:p w14:paraId="015CCC1E">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①符合中华人民共和国国家安全质量标准、环保标准或行业标准；</w:t>
      </w:r>
    </w:p>
    <w:p w14:paraId="266F9A2F">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②符合采购文件和响应承诺中采购人认可的合理最佳配置、参数及各项要求</w:t>
      </w:r>
    </w:p>
    <w:p w14:paraId="3AADD139">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③货物来源国家官方标准。</w:t>
      </w:r>
    </w:p>
    <w:p w14:paraId="54734F67">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（2）成交供应商须为验收提供必需的设备、工具及其他便利条件。</w:t>
      </w:r>
    </w:p>
    <w:p w14:paraId="7B4E4FE6">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（3）在验收过程中发现数量不足或有质量、技术等问题，成交供应商应负责按照采购人的要求采取补足、更换或退货等措施妥善处理，并承担由此发生的一切费用和损失。</w:t>
      </w:r>
    </w:p>
    <w:p w14:paraId="0823E970">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（4）外形尺寸参数要求偏差值不超过±5%，属于厚度的为最低值，不得有公差。</w:t>
      </w:r>
    </w:p>
    <w:p w14:paraId="345698A8">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（5）相关检验检测和验收费用全部由成交供应商承担。</w:t>
      </w:r>
    </w:p>
    <w:p w14:paraId="5621E6C8">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（6）本项目为交钥匙工程，由成交供应商负责运输、施工等一切费用，成交供应商负责制定具体的施工的进度计划，双方共同协商制定时间表。</w:t>
      </w:r>
    </w:p>
    <w:p w14:paraId="0879A40F">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4.成交人应根据采购人的要求派出技术全面、经验丰富的技术人员在安装现场进行安装和有关安装指导。</w:t>
      </w:r>
    </w:p>
    <w:p w14:paraId="16D86474">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5.技术培训对象及培训目标、要求：</w:t>
      </w:r>
    </w:p>
    <w:p w14:paraId="4AA32FE3">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（1）供应商需提供不少于</w:t>
      </w:r>
      <w:r>
        <w:rPr>
          <w:rFonts w:hint="eastAsia" w:ascii="仿宋" w:hAnsi="仿宋" w:eastAsia="仿宋" w:cs="仿宋"/>
          <w:sz w:val="24"/>
          <w:highlight w:val="none"/>
          <w:lang w:val="en-US" w:eastAsia="zh-CN"/>
        </w:rPr>
        <w:t>24课时，每节课时间不少于45分钟</w:t>
      </w:r>
      <w:r>
        <w:rPr>
          <w:rFonts w:hint="eastAsia" w:ascii="仿宋" w:hAnsi="仿宋" w:eastAsia="仿宋" w:cs="仿宋"/>
          <w:sz w:val="24"/>
          <w:highlight w:val="none"/>
        </w:rPr>
        <w:t>的现场培训，培训内容包括但不限于：网络设备（路由器、交换机、无线AC/AP等）的配置与调试、设备操作管理控制中心的使用、多元数字仿真教学平台及教学管理实训系统的操作、常见故障排除、课程资源（交换路由/无线/网络安全）的实验开展方法等。培训资料由供应商免费提供。</w:t>
      </w:r>
      <w:r>
        <w:rPr>
          <w:rFonts w:hint="eastAsia" w:ascii="仿宋" w:hAnsi="仿宋" w:eastAsia="仿宋" w:cs="仿宋"/>
          <w:sz w:val="24"/>
          <w:highlight w:val="none"/>
        </w:rPr>
        <w:br w:type="textWrapping"/>
      </w:r>
      <w:r>
        <w:rPr>
          <w:rFonts w:hint="eastAsia" w:ascii="仿宋" w:hAnsi="仿宋" w:eastAsia="仿宋" w:cs="仿宋"/>
          <w:sz w:val="24"/>
          <w:highlight w:val="none"/>
        </w:rPr>
        <w:t xml:space="preserve">  （2）提供全套电子版教学资源（U盘或网盘形式），包括实验案例、操作演示视频、开发环境安装包、原理图、实验指导书、课程PPT等，所有资源应与采购设备及教学授权点内容保持一致。</w:t>
      </w:r>
      <w:r>
        <w:rPr>
          <w:rFonts w:hint="eastAsia" w:ascii="仿宋" w:hAnsi="仿宋" w:eastAsia="仿宋" w:cs="仿宋"/>
          <w:sz w:val="24"/>
          <w:highlight w:val="none"/>
        </w:rPr>
        <w:br w:type="textWrapping"/>
      </w:r>
      <w:r>
        <w:rPr>
          <w:rFonts w:hint="eastAsia" w:ascii="仿宋" w:hAnsi="仿宋" w:eastAsia="仿宋" w:cs="仿宋"/>
          <w:sz w:val="24"/>
          <w:highlight w:val="none"/>
        </w:rPr>
        <w:t xml:space="preserve">  （</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）供应商所提供设备须为全新、原厂正品，且技术参数应完全符合或优于采购要求，不得以翻新、返修、拆机件等充当新品。</w:t>
      </w:r>
    </w:p>
    <w:p w14:paraId="1E8F4FD9">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6.如遇厂方兼并或代理商不再代理该产品，须与采购人做好移交手续。本合同、协议继续有效。</w:t>
      </w:r>
    </w:p>
    <w:p w14:paraId="4754317D">
      <w:pPr>
        <w:spacing w:line="360" w:lineRule="auto"/>
        <w:ind w:firstLine="482" w:firstLineChars="200"/>
        <w:rPr>
          <w:rFonts w:hint="eastAsia" w:ascii="仿宋" w:hAnsi="仿宋" w:eastAsia="仿宋" w:cs="仿宋"/>
          <w:b/>
          <w:bCs/>
          <w:color w:val="EE0000"/>
          <w:highlight w:val="none"/>
        </w:rPr>
      </w:pPr>
      <w:r>
        <w:rPr>
          <w:rFonts w:hint="eastAsia" w:ascii="仿宋" w:hAnsi="仿宋" w:eastAsia="仿宋" w:cs="仿宋"/>
          <w:b/>
          <w:bCs/>
          <w:color w:val="EE0000"/>
          <w:sz w:val="24"/>
          <w:highlight w:val="none"/>
        </w:rPr>
        <w:t>7.新设备需具备兼容实训室已有锐捷设备的能力，供应商需提供保证设备互通的承诺函（格式自拟</w:t>
      </w:r>
      <w:r>
        <w:rPr>
          <w:rFonts w:hint="eastAsia" w:ascii="仿宋" w:hAnsi="仿宋" w:eastAsia="仿宋" w:cs="仿宋"/>
          <w:b/>
          <w:bCs/>
          <w:color w:val="EE0000"/>
          <w:sz w:val="24"/>
          <w:highlight w:val="none"/>
          <w:lang w:eastAsia="zh-CN"/>
        </w:rPr>
        <w:t>，</w:t>
      </w:r>
      <w:r>
        <w:rPr>
          <w:rFonts w:hint="eastAsia" w:ascii="仿宋" w:hAnsi="仿宋" w:eastAsia="仿宋" w:cs="仿宋"/>
          <w:b/>
          <w:bCs/>
          <w:color w:val="EE0000"/>
          <w:sz w:val="24"/>
          <w:highlight w:val="none"/>
          <w:lang w:val="en-US" w:eastAsia="zh-CN"/>
        </w:rPr>
        <w:t>须单独提供承诺函；未提供视为无效响应</w:t>
      </w:r>
      <w:r>
        <w:rPr>
          <w:rFonts w:hint="eastAsia" w:ascii="仿宋" w:hAnsi="仿宋" w:eastAsia="仿宋" w:cs="仿宋"/>
          <w:b/>
          <w:bCs/>
          <w:color w:val="EE0000"/>
          <w:sz w:val="24"/>
          <w:highlight w:val="none"/>
        </w:rPr>
        <w:t>）加盖供应商公章佐证，确保具备互通能力。</w:t>
      </w:r>
    </w:p>
    <w:p w14:paraId="38B5F1F2">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8.（1）设备数量、型号、技术参数与采购清单及合同一致；</w:t>
      </w:r>
    </w:p>
    <w:p w14:paraId="54326401">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（2）所有设备能够正常开机、运行，配套实验资源（数字仿真教学平台、教学管理实训系统、课程资源授权点等）可正常使用，各教学授权点授权数量准确且功能完整；</w:t>
      </w:r>
    </w:p>
    <w:p w14:paraId="62409036">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（3）供应商需提供完整的操作手册、实验指导书、教学课件、源码、开发工具、实验手册等全套电子版资料；</w:t>
      </w:r>
    </w:p>
    <w:p w14:paraId="1BE41855">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（4）由校方组织专家或使用部门按合同及技术参数要求进行验收，验收时供应商需配合进行设备功能及教学系统功能的现场演示。</w:t>
      </w:r>
    </w:p>
    <w:p w14:paraId="1F13998F">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9.售后服务：</w:t>
      </w:r>
    </w:p>
    <w:p w14:paraId="0A2D26F1">
      <w:pPr>
        <w:pStyle w:val="7"/>
        <w:spacing w:after="0"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成交人提供的货物应按照国家三包标准执行，质保期不低于</w:t>
      </w:r>
      <w:r>
        <w:rPr>
          <w:rFonts w:hint="eastAsia" w:ascii="仿宋" w:hAnsi="仿宋" w:eastAsia="仿宋" w:cs="仿宋"/>
          <w:b/>
          <w:bCs/>
          <w:sz w:val="24"/>
          <w:highlight w:val="none"/>
          <w:lang w:val="en-US" w:eastAsia="zh-CN"/>
        </w:rPr>
        <w:t>36</w:t>
      </w:r>
      <w:r>
        <w:rPr>
          <w:rFonts w:hint="eastAsia" w:ascii="仿宋" w:hAnsi="仿宋" w:eastAsia="仿宋" w:cs="仿宋"/>
          <w:b/>
          <w:bCs/>
          <w:sz w:val="24"/>
          <w:highlight w:val="none"/>
        </w:rPr>
        <w:t>个月，（国家或企业另有约定高于</w:t>
      </w:r>
      <w:r>
        <w:rPr>
          <w:rFonts w:hint="eastAsia" w:ascii="仿宋" w:hAnsi="仿宋" w:eastAsia="仿宋" w:cs="仿宋"/>
          <w:b/>
          <w:bCs/>
          <w:sz w:val="24"/>
          <w:highlight w:val="none"/>
          <w:lang w:val="en-US" w:eastAsia="zh-CN"/>
        </w:rPr>
        <w:t>36</w:t>
      </w:r>
      <w:r>
        <w:rPr>
          <w:rFonts w:hint="eastAsia" w:ascii="仿宋" w:hAnsi="仿宋" w:eastAsia="仿宋" w:cs="仿宋"/>
          <w:b/>
          <w:bCs/>
          <w:sz w:val="24"/>
          <w:highlight w:val="none"/>
        </w:rPr>
        <w:t>个月的从其约定），</w:t>
      </w:r>
      <w:r>
        <w:rPr>
          <w:rFonts w:hint="eastAsia" w:ascii="仿宋" w:hAnsi="仿宋" w:eastAsia="仿宋" w:cs="仿宋"/>
          <w:sz w:val="24"/>
          <w:highlight w:val="none"/>
        </w:rPr>
        <w:t>自合同货物最终验收合格之日算起，保修方式为上门服务，质量保证期内发生的一切费用由成交人承担。在质量保证期内，出现故障接采购人或使用单位通知后4小时内必须响应，12小时到达现场，24小时解决。如超过24小时仍不能排除故障，成交人应无偿提供备用品或零件供用户使用直至故障排除后正常使用。</w:t>
      </w:r>
    </w:p>
    <w:p w14:paraId="3D056E83">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9.1 质量保证期期满后，成交人继续为采购人提供专业维修服务，由此发生的相关服务和备品备件费用由采购人承担。成交人在签订合同时应提供质保期满后相关维修服务和常用备件、备品价目表。</w:t>
      </w:r>
    </w:p>
    <w:p w14:paraId="461AB185">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9.2巡回检修保养售后服务：质保期内，成交人需派出专业维修技术人员不定期对现有设备进行检修保养，提前预防设备故障，及时排除故障，防范于未然，发现问题及时处理。一年内不少于2次免费巡回检修保养。</w:t>
      </w:r>
    </w:p>
    <w:p w14:paraId="5A0E97CC">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10.采购合同的签订：成交人应在成交结果公告发出后5个工作日内与采购单位签订采购合同。</w:t>
      </w:r>
    </w:p>
    <w:p w14:paraId="32295513">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11.交货地点、时间：</w:t>
      </w:r>
    </w:p>
    <w:p w14:paraId="5D0C58B0">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11.1交货地点：采购人指定地点（吉安职业技术学院计算机网络实训室）。</w:t>
      </w:r>
    </w:p>
    <w:p w14:paraId="15AF8F9F">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11.2交货时间：</w:t>
      </w:r>
      <w:r>
        <w:rPr>
          <w:rFonts w:hint="eastAsia" w:ascii="仿宋" w:hAnsi="仿宋" w:eastAsia="仿宋" w:cs="仿宋"/>
          <w:b/>
          <w:bCs/>
          <w:color w:val="FF0000"/>
          <w:sz w:val="24"/>
          <w:highlight w:val="none"/>
        </w:rPr>
        <w:t>合同签订后30个日历天内完成全部设备供货、安装、调试并交付使用。</w:t>
      </w:r>
    </w:p>
    <w:p w14:paraId="1C66E2C1">
      <w:pPr>
        <w:pStyle w:val="7"/>
        <w:spacing w:after="0" w:line="360" w:lineRule="auto"/>
        <w:ind w:firstLine="480" w:firstLineChars="200"/>
        <w:rPr>
          <w:rFonts w:hint="eastAsia" w:ascii="仿宋" w:hAnsi="仿宋" w:eastAsia="仿宋" w:cs="仿宋"/>
          <w:highlight w:val="none"/>
        </w:rPr>
      </w:pPr>
      <w:r>
        <w:rPr>
          <w:rFonts w:hint="eastAsia" w:ascii="仿宋" w:hAnsi="仿宋" w:eastAsia="仿宋" w:cs="仿宋"/>
          <w:sz w:val="24"/>
          <w:highlight w:val="none"/>
        </w:rPr>
        <w:t>12.付款方式：</w:t>
      </w:r>
      <w:r>
        <w:rPr>
          <w:rFonts w:hint="eastAsia" w:ascii="仿宋" w:hAnsi="仿宋" w:eastAsia="仿宋" w:cs="仿宋"/>
          <w:b/>
          <w:bCs/>
          <w:color w:val="FF0000"/>
          <w:sz w:val="24"/>
          <w:highlight w:val="none"/>
        </w:rPr>
        <w:t>由采购人邀请相关行业专家参与验收，经验收合格后支付至合同总价的100%。</w:t>
      </w:r>
    </w:p>
    <w:p w14:paraId="0958A4B8">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13.响应人应保证，采购人在中华人民共和国使用响应人所提供的货物或货物的任何一部分时，免受第三方提出的侵犯其专利权、商标权或工业设计权的起诉。</w:t>
      </w:r>
    </w:p>
    <w:p w14:paraId="69B9F586">
      <w:pPr>
        <w:pStyle w:val="7"/>
        <w:spacing w:after="0" w:line="360" w:lineRule="auto"/>
        <w:ind w:firstLine="482" w:firstLineChars="200"/>
        <w:rPr>
          <w:rFonts w:hint="eastAsia" w:ascii="仿宋" w:hAnsi="仿宋" w:eastAsia="仿宋" w:cs="仿宋"/>
          <w:b/>
          <w:bCs/>
          <w:color w:val="EE0000"/>
          <w:sz w:val="24"/>
          <w:highlight w:val="none"/>
        </w:rPr>
      </w:pPr>
      <w:r>
        <w:rPr>
          <w:rFonts w:hint="eastAsia" w:ascii="仿宋" w:hAnsi="仿宋" w:eastAsia="仿宋" w:cs="仿宋"/>
          <w:b/>
          <w:bCs/>
          <w:color w:val="EE0000"/>
          <w:sz w:val="24"/>
          <w:highlight w:val="none"/>
        </w:rPr>
        <w:t>13.供应商需提供采购清单所有设备、配件支持无缝接入吉安职业技术学院安防监控平台的承诺函（格式自拟</w:t>
      </w:r>
      <w:r>
        <w:rPr>
          <w:rFonts w:hint="eastAsia" w:ascii="仿宋" w:hAnsi="仿宋" w:eastAsia="仿宋" w:cs="仿宋"/>
          <w:b/>
          <w:bCs/>
          <w:color w:val="EE0000"/>
          <w:sz w:val="24"/>
          <w:highlight w:val="none"/>
          <w:lang w:eastAsia="zh-CN"/>
        </w:rPr>
        <w:t>，</w:t>
      </w:r>
      <w:r>
        <w:rPr>
          <w:rFonts w:hint="eastAsia" w:ascii="仿宋" w:hAnsi="仿宋" w:eastAsia="仿宋" w:cs="仿宋"/>
          <w:b/>
          <w:bCs/>
          <w:color w:val="EE0000"/>
          <w:sz w:val="24"/>
          <w:highlight w:val="none"/>
          <w:lang w:val="en-US" w:eastAsia="zh-CN"/>
        </w:rPr>
        <w:t>须单独提供承诺函；未提供视为无效响应</w:t>
      </w:r>
      <w:r>
        <w:rPr>
          <w:rFonts w:hint="eastAsia" w:ascii="仿宋" w:hAnsi="仿宋" w:eastAsia="仿宋" w:cs="仿宋"/>
          <w:b/>
          <w:bCs/>
          <w:color w:val="EE0000"/>
          <w:sz w:val="24"/>
          <w:highlight w:val="none"/>
        </w:rPr>
        <w:t>）加盖供应商公章佐证。</w:t>
      </w:r>
    </w:p>
    <w:p w14:paraId="335CE6A7">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14.特别说明</w:t>
      </w:r>
    </w:p>
    <w:p w14:paraId="215EE4FA">
      <w:pPr>
        <w:pStyle w:val="7"/>
        <w:spacing w:after="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14.1成交人在项目实施或服务过程中发生的重大人员、产品质量事故，或因成交人管理不善等原因造成的人员伤亡等责任事故均由成交人负责，采购人不承担任何法律及经济责任。</w:t>
      </w:r>
    </w:p>
    <w:p w14:paraId="24A3A51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15.未尽事宜，请与采购人联系。</w:t>
      </w:r>
    </w:p>
    <w:p w14:paraId="661035B9">
      <w:pPr>
        <w:spacing w:line="360" w:lineRule="auto"/>
        <w:ind w:firstLine="482" w:firstLineChars="200"/>
        <w:rPr>
          <w:rFonts w:hint="eastAsia" w:ascii="仿宋" w:hAnsi="仿宋" w:eastAsia="仿宋" w:cs="仿宋"/>
          <w:sz w:val="28"/>
          <w:szCs w:val="28"/>
          <w:highlight w:val="none"/>
        </w:rPr>
      </w:pPr>
      <w:r>
        <w:rPr>
          <w:rFonts w:hint="eastAsia" w:ascii="仿宋" w:hAnsi="仿宋" w:eastAsia="仿宋" w:cs="仿宋"/>
          <w:b/>
          <w:bCs/>
          <w:sz w:val="24"/>
          <w:highlight w:val="none"/>
        </w:rPr>
        <w:t>注：以上商务条款为最低指标，供应商必须全部响应(满足或优于商务要求)</w:t>
      </w:r>
      <w:r>
        <w:rPr>
          <w:rFonts w:hint="eastAsia" w:ascii="仿宋" w:hAnsi="仿宋" w:eastAsia="仿宋" w:cs="仿宋"/>
          <w:sz w:val="28"/>
          <w:szCs w:val="28"/>
          <w:highlight w:val="none"/>
        </w:rPr>
        <w:br w:type="page"/>
      </w:r>
    </w:p>
    <w:p w14:paraId="723F31CB">
      <w:pPr>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赣企恒招〔2026〕-12号询价公告及文件审批意见</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7166"/>
      </w:tblGrid>
      <w:tr w14:paraId="5342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2" w:hRule="atLeast"/>
        </w:trPr>
        <w:tc>
          <w:tcPr>
            <w:tcW w:w="1351" w:type="dxa"/>
            <w:vAlign w:val="center"/>
          </w:tcPr>
          <w:p w14:paraId="50414933">
            <w:pPr>
              <w:jc w:val="center"/>
              <w:rPr>
                <w:rFonts w:hint="eastAsia" w:ascii="仿宋" w:hAnsi="仿宋" w:eastAsia="仿宋" w:cs="仿宋"/>
                <w:sz w:val="24"/>
                <w:highlight w:val="none"/>
              </w:rPr>
            </w:pPr>
            <w:r>
              <w:rPr>
                <w:rFonts w:hint="eastAsia" w:ascii="仿宋" w:hAnsi="仿宋" w:eastAsia="仿宋" w:cs="仿宋"/>
                <w:sz w:val="24"/>
                <w:highlight w:val="none"/>
              </w:rPr>
              <w:t>采</w:t>
            </w:r>
          </w:p>
          <w:p w14:paraId="02E820C4">
            <w:pPr>
              <w:jc w:val="center"/>
              <w:rPr>
                <w:rFonts w:hint="eastAsia" w:ascii="仿宋" w:hAnsi="仿宋" w:eastAsia="仿宋" w:cs="仿宋"/>
                <w:sz w:val="24"/>
                <w:highlight w:val="none"/>
              </w:rPr>
            </w:pPr>
            <w:r>
              <w:rPr>
                <w:rFonts w:hint="eastAsia" w:ascii="仿宋" w:hAnsi="仿宋" w:eastAsia="仿宋" w:cs="仿宋"/>
                <w:sz w:val="24"/>
                <w:highlight w:val="none"/>
              </w:rPr>
              <w:t>购</w:t>
            </w:r>
          </w:p>
          <w:p w14:paraId="585E3812">
            <w:pPr>
              <w:jc w:val="center"/>
              <w:rPr>
                <w:rFonts w:hint="eastAsia" w:ascii="仿宋" w:hAnsi="仿宋" w:eastAsia="仿宋" w:cs="仿宋"/>
                <w:sz w:val="24"/>
                <w:highlight w:val="none"/>
              </w:rPr>
            </w:pPr>
            <w:r>
              <w:rPr>
                <w:rFonts w:hint="eastAsia" w:ascii="仿宋" w:hAnsi="仿宋" w:eastAsia="仿宋" w:cs="仿宋"/>
                <w:sz w:val="24"/>
                <w:highlight w:val="none"/>
              </w:rPr>
              <w:t>代</w:t>
            </w:r>
          </w:p>
          <w:p w14:paraId="5EC49002">
            <w:pPr>
              <w:jc w:val="center"/>
              <w:rPr>
                <w:rFonts w:hint="eastAsia" w:ascii="仿宋" w:hAnsi="仿宋" w:eastAsia="仿宋" w:cs="仿宋"/>
                <w:sz w:val="24"/>
                <w:highlight w:val="none"/>
              </w:rPr>
            </w:pPr>
            <w:r>
              <w:rPr>
                <w:rFonts w:hint="eastAsia" w:ascii="仿宋" w:hAnsi="仿宋" w:eastAsia="仿宋" w:cs="仿宋"/>
                <w:sz w:val="24"/>
                <w:highlight w:val="none"/>
              </w:rPr>
              <w:t>理</w:t>
            </w:r>
          </w:p>
          <w:p w14:paraId="1BF764C2">
            <w:pPr>
              <w:jc w:val="center"/>
              <w:rPr>
                <w:rFonts w:hint="eastAsia" w:ascii="仿宋" w:hAnsi="仿宋" w:eastAsia="仿宋" w:cs="仿宋"/>
                <w:sz w:val="24"/>
                <w:highlight w:val="none"/>
              </w:rPr>
            </w:pPr>
            <w:r>
              <w:rPr>
                <w:rFonts w:hint="eastAsia" w:ascii="仿宋" w:hAnsi="仿宋" w:eastAsia="仿宋" w:cs="仿宋"/>
                <w:sz w:val="24"/>
                <w:highlight w:val="none"/>
              </w:rPr>
              <w:t>机</w:t>
            </w:r>
          </w:p>
          <w:p w14:paraId="4E5BD802">
            <w:pPr>
              <w:jc w:val="center"/>
              <w:rPr>
                <w:rFonts w:hint="eastAsia" w:ascii="仿宋" w:hAnsi="仿宋" w:eastAsia="仿宋" w:cs="仿宋"/>
                <w:sz w:val="24"/>
                <w:highlight w:val="none"/>
              </w:rPr>
            </w:pPr>
            <w:r>
              <w:rPr>
                <w:rFonts w:hint="eastAsia" w:ascii="仿宋" w:hAnsi="仿宋" w:eastAsia="仿宋" w:cs="仿宋"/>
                <w:sz w:val="24"/>
                <w:highlight w:val="none"/>
              </w:rPr>
              <w:t>构</w:t>
            </w:r>
          </w:p>
        </w:tc>
        <w:tc>
          <w:tcPr>
            <w:tcW w:w="7171" w:type="dxa"/>
            <w:vAlign w:val="center"/>
          </w:tcPr>
          <w:p w14:paraId="02C9C06F">
            <w:pPr>
              <w:rPr>
                <w:rFonts w:hint="eastAsia" w:ascii="仿宋" w:hAnsi="仿宋" w:eastAsia="仿宋" w:cs="仿宋"/>
                <w:sz w:val="24"/>
                <w:highlight w:val="none"/>
              </w:rPr>
            </w:pPr>
            <w:r>
              <w:rPr>
                <w:rFonts w:hint="eastAsia" w:ascii="仿宋" w:hAnsi="仿宋" w:eastAsia="仿宋" w:cs="仿宋"/>
                <w:sz w:val="24"/>
                <w:highlight w:val="none"/>
              </w:rPr>
              <w:t>询价通知书已编制完毕，报请采购单位审核</w:t>
            </w:r>
          </w:p>
          <w:p w14:paraId="4D5791C9">
            <w:pPr>
              <w:rPr>
                <w:rFonts w:hint="eastAsia" w:ascii="仿宋" w:hAnsi="仿宋" w:eastAsia="仿宋" w:cs="仿宋"/>
                <w:sz w:val="24"/>
                <w:highlight w:val="none"/>
              </w:rPr>
            </w:pPr>
          </w:p>
          <w:p w14:paraId="4EB49B68">
            <w:pPr>
              <w:rPr>
                <w:rFonts w:hint="eastAsia" w:ascii="仿宋" w:hAnsi="仿宋" w:eastAsia="仿宋" w:cs="仿宋"/>
                <w:sz w:val="24"/>
                <w:highlight w:val="none"/>
              </w:rPr>
            </w:pPr>
          </w:p>
          <w:p w14:paraId="513DDF86">
            <w:pPr>
              <w:ind w:firstLine="4080" w:firstLineChars="1700"/>
              <w:rPr>
                <w:rFonts w:hint="eastAsia" w:ascii="仿宋" w:hAnsi="仿宋" w:eastAsia="仿宋" w:cs="仿宋"/>
                <w:sz w:val="24"/>
                <w:highlight w:val="none"/>
              </w:rPr>
            </w:pPr>
            <w:r>
              <w:rPr>
                <w:rFonts w:hint="eastAsia" w:ascii="仿宋" w:hAnsi="仿宋" w:eastAsia="仿宋" w:cs="仿宋"/>
                <w:sz w:val="24"/>
                <w:highlight w:val="none"/>
              </w:rPr>
              <w:t>年   月   日</w:t>
            </w:r>
          </w:p>
          <w:p w14:paraId="1268D992">
            <w:pPr>
              <w:rPr>
                <w:rFonts w:hint="eastAsia" w:ascii="仿宋" w:hAnsi="仿宋" w:eastAsia="仿宋" w:cs="仿宋"/>
                <w:sz w:val="24"/>
                <w:highlight w:val="none"/>
              </w:rPr>
            </w:pPr>
          </w:p>
        </w:tc>
      </w:tr>
      <w:tr w14:paraId="4DD8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5" w:hRule="atLeast"/>
        </w:trPr>
        <w:tc>
          <w:tcPr>
            <w:tcW w:w="1351" w:type="dxa"/>
            <w:vAlign w:val="center"/>
          </w:tcPr>
          <w:p w14:paraId="0DF4B88E">
            <w:pPr>
              <w:jc w:val="center"/>
              <w:rPr>
                <w:rFonts w:hint="eastAsia" w:ascii="仿宋" w:hAnsi="仿宋" w:eastAsia="仿宋" w:cs="仿宋"/>
                <w:sz w:val="24"/>
                <w:highlight w:val="none"/>
              </w:rPr>
            </w:pPr>
            <w:r>
              <w:rPr>
                <w:rFonts w:hint="eastAsia" w:ascii="仿宋" w:hAnsi="仿宋" w:eastAsia="仿宋" w:cs="仿宋"/>
                <w:sz w:val="24"/>
                <w:highlight w:val="none"/>
              </w:rPr>
              <w:t>采</w:t>
            </w:r>
          </w:p>
          <w:p w14:paraId="14B389FD">
            <w:pPr>
              <w:jc w:val="center"/>
              <w:rPr>
                <w:rFonts w:hint="eastAsia" w:ascii="仿宋" w:hAnsi="仿宋" w:eastAsia="仿宋" w:cs="仿宋"/>
                <w:sz w:val="24"/>
                <w:highlight w:val="none"/>
              </w:rPr>
            </w:pPr>
            <w:r>
              <w:rPr>
                <w:rFonts w:hint="eastAsia" w:ascii="仿宋" w:hAnsi="仿宋" w:eastAsia="仿宋" w:cs="仿宋"/>
                <w:sz w:val="24"/>
                <w:highlight w:val="none"/>
              </w:rPr>
              <w:t>购</w:t>
            </w:r>
          </w:p>
          <w:p w14:paraId="4950129F">
            <w:pPr>
              <w:jc w:val="center"/>
              <w:rPr>
                <w:rFonts w:hint="eastAsia" w:ascii="仿宋" w:hAnsi="仿宋" w:eastAsia="仿宋" w:cs="仿宋"/>
                <w:sz w:val="24"/>
                <w:highlight w:val="none"/>
              </w:rPr>
            </w:pPr>
            <w:r>
              <w:rPr>
                <w:rFonts w:hint="eastAsia" w:ascii="仿宋" w:hAnsi="仿宋" w:eastAsia="仿宋" w:cs="仿宋"/>
                <w:sz w:val="24"/>
                <w:highlight w:val="none"/>
              </w:rPr>
              <w:t>单</w:t>
            </w:r>
          </w:p>
          <w:p w14:paraId="0C2B112C">
            <w:pPr>
              <w:jc w:val="center"/>
              <w:rPr>
                <w:rFonts w:hint="eastAsia" w:ascii="仿宋" w:hAnsi="仿宋" w:eastAsia="仿宋" w:cs="仿宋"/>
                <w:sz w:val="24"/>
                <w:highlight w:val="none"/>
              </w:rPr>
            </w:pPr>
            <w:r>
              <w:rPr>
                <w:rFonts w:hint="eastAsia" w:ascii="仿宋" w:hAnsi="仿宋" w:eastAsia="仿宋" w:cs="仿宋"/>
                <w:sz w:val="24"/>
                <w:highlight w:val="none"/>
              </w:rPr>
              <w:t>位</w:t>
            </w:r>
          </w:p>
          <w:p w14:paraId="2F641A97">
            <w:pPr>
              <w:jc w:val="center"/>
              <w:rPr>
                <w:rFonts w:hint="eastAsia" w:ascii="仿宋" w:hAnsi="仿宋" w:eastAsia="仿宋" w:cs="仿宋"/>
                <w:sz w:val="24"/>
                <w:highlight w:val="none"/>
              </w:rPr>
            </w:pPr>
          </w:p>
        </w:tc>
        <w:tc>
          <w:tcPr>
            <w:tcW w:w="7171" w:type="dxa"/>
          </w:tcPr>
          <w:p w14:paraId="0399CFAB">
            <w:pPr>
              <w:rPr>
                <w:rFonts w:hint="eastAsia" w:ascii="仿宋" w:hAnsi="仿宋" w:eastAsia="仿宋" w:cs="仿宋"/>
                <w:sz w:val="24"/>
                <w:highlight w:val="none"/>
              </w:rPr>
            </w:pPr>
          </w:p>
          <w:p w14:paraId="7589980E">
            <w:pPr>
              <w:rPr>
                <w:rFonts w:hint="eastAsia" w:ascii="仿宋" w:hAnsi="仿宋" w:eastAsia="仿宋" w:cs="仿宋"/>
                <w:sz w:val="24"/>
                <w:highlight w:val="none"/>
              </w:rPr>
            </w:pPr>
          </w:p>
          <w:p w14:paraId="0D351812">
            <w:pPr>
              <w:rPr>
                <w:rFonts w:hint="eastAsia" w:ascii="仿宋" w:hAnsi="仿宋" w:eastAsia="仿宋" w:cs="仿宋"/>
                <w:sz w:val="24"/>
                <w:highlight w:val="none"/>
              </w:rPr>
            </w:pPr>
          </w:p>
          <w:p w14:paraId="5C9F7737">
            <w:pPr>
              <w:rPr>
                <w:rFonts w:hint="eastAsia" w:ascii="仿宋" w:hAnsi="仿宋" w:eastAsia="仿宋" w:cs="仿宋"/>
                <w:sz w:val="24"/>
                <w:highlight w:val="none"/>
              </w:rPr>
            </w:pPr>
            <w:r>
              <w:rPr>
                <w:rFonts w:hint="eastAsia" w:ascii="仿宋" w:hAnsi="仿宋" w:eastAsia="仿宋" w:cs="仿宋"/>
                <w:sz w:val="24"/>
                <w:highlight w:val="none"/>
              </w:rPr>
              <w:t>采购单位意见（盖章）：</w:t>
            </w:r>
          </w:p>
          <w:p w14:paraId="7EFDFA27">
            <w:pPr>
              <w:rPr>
                <w:rFonts w:hint="eastAsia" w:ascii="仿宋" w:hAnsi="仿宋" w:eastAsia="仿宋" w:cs="仿宋"/>
                <w:sz w:val="24"/>
                <w:highlight w:val="none"/>
              </w:rPr>
            </w:pPr>
          </w:p>
          <w:p w14:paraId="1A64890B">
            <w:pPr>
              <w:rPr>
                <w:rFonts w:hint="eastAsia" w:ascii="仿宋" w:hAnsi="仿宋" w:eastAsia="仿宋" w:cs="仿宋"/>
                <w:sz w:val="24"/>
                <w:highlight w:val="none"/>
              </w:rPr>
            </w:pPr>
          </w:p>
          <w:p w14:paraId="0206CE48">
            <w:pPr>
              <w:rPr>
                <w:rFonts w:hint="eastAsia" w:ascii="仿宋" w:hAnsi="仿宋" w:eastAsia="仿宋" w:cs="仿宋"/>
                <w:sz w:val="24"/>
                <w:highlight w:val="none"/>
              </w:rPr>
            </w:pPr>
          </w:p>
          <w:p w14:paraId="3263E2CB">
            <w:pPr>
              <w:ind w:firstLine="4080" w:firstLineChars="1700"/>
              <w:rPr>
                <w:rFonts w:hint="eastAsia" w:ascii="仿宋" w:hAnsi="仿宋" w:eastAsia="仿宋" w:cs="仿宋"/>
                <w:sz w:val="24"/>
                <w:highlight w:val="none"/>
              </w:rPr>
            </w:pPr>
            <w:r>
              <w:rPr>
                <w:rFonts w:hint="eastAsia" w:ascii="仿宋" w:hAnsi="仿宋" w:eastAsia="仿宋" w:cs="仿宋"/>
                <w:sz w:val="24"/>
                <w:highlight w:val="none"/>
              </w:rPr>
              <w:t>年   月   日</w:t>
            </w:r>
          </w:p>
          <w:p w14:paraId="2FB555AC">
            <w:pPr>
              <w:rPr>
                <w:rFonts w:hint="eastAsia" w:ascii="仿宋" w:hAnsi="仿宋" w:eastAsia="仿宋" w:cs="仿宋"/>
                <w:sz w:val="24"/>
                <w:highlight w:val="none"/>
              </w:rPr>
            </w:pPr>
          </w:p>
        </w:tc>
      </w:tr>
    </w:tbl>
    <w:p w14:paraId="7CA01206">
      <w:pPr>
        <w:rPr>
          <w:rFonts w:hint="eastAsia" w:ascii="仿宋" w:hAnsi="仿宋" w:eastAsia="仿宋" w:cs="仿宋"/>
          <w:highlight w:val="none"/>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D0CCB">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469C10">
                          <w:pPr>
                            <w:pStyle w:val="1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D469C10">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2447E5"/>
    <w:multiLevelType w:val="singleLevel"/>
    <w:tmpl w:val="8F2447E5"/>
    <w:lvl w:ilvl="0" w:tentative="0">
      <w:start w:val="13"/>
      <w:numFmt w:val="decimal"/>
      <w:lvlText w:val="%1."/>
      <w:lvlJc w:val="left"/>
      <w:pPr>
        <w:tabs>
          <w:tab w:val="left" w:pos="312"/>
        </w:tabs>
      </w:pPr>
    </w:lvl>
  </w:abstractNum>
  <w:abstractNum w:abstractNumId="1">
    <w:nsid w:val="B965626A"/>
    <w:multiLevelType w:val="singleLevel"/>
    <w:tmpl w:val="B965626A"/>
    <w:lvl w:ilvl="0" w:tentative="0">
      <w:start w:val="1"/>
      <w:numFmt w:val="decimal"/>
      <w:suff w:val="nothing"/>
      <w:lvlText w:val="%1、"/>
      <w:lvlJc w:val="left"/>
    </w:lvl>
  </w:abstractNum>
  <w:abstractNum w:abstractNumId="2">
    <w:nsid w:val="C4838FC5"/>
    <w:multiLevelType w:val="singleLevel"/>
    <w:tmpl w:val="C4838FC5"/>
    <w:lvl w:ilvl="0" w:tentative="0">
      <w:start w:val="10"/>
      <w:numFmt w:val="decimal"/>
      <w:lvlText w:val="%1."/>
      <w:lvlJc w:val="left"/>
      <w:pPr>
        <w:tabs>
          <w:tab w:val="left" w:pos="312"/>
        </w:tabs>
      </w:pPr>
    </w:lvl>
  </w:abstractNum>
  <w:abstractNum w:abstractNumId="3">
    <w:nsid w:val="EA36093F"/>
    <w:multiLevelType w:val="singleLevel"/>
    <w:tmpl w:val="EA36093F"/>
    <w:lvl w:ilvl="0" w:tentative="0">
      <w:start w:val="1"/>
      <w:numFmt w:val="chineseCounting"/>
      <w:suff w:val="nothing"/>
      <w:lvlText w:val="%1、"/>
      <w:lvlJc w:val="left"/>
      <w:rPr>
        <w:rFonts w:hint="eastAsia"/>
      </w:rPr>
    </w:lvl>
  </w:abstractNum>
  <w:abstractNum w:abstractNumId="4">
    <w:nsid w:val="0504245A"/>
    <w:multiLevelType w:val="singleLevel"/>
    <w:tmpl w:val="0504245A"/>
    <w:lvl w:ilvl="0" w:tentative="0">
      <w:start w:val="1"/>
      <w:numFmt w:val="decimal"/>
      <w:suff w:val="nothing"/>
      <w:lvlText w:val="%1、"/>
      <w:lvlJc w:val="left"/>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2MDc1MjliZDA3Y2I3ZWM4NzMzZDcxNzhkZDE1NjYifQ=="/>
  </w:docVars>
  <w:rsids>
    <w:rsidRoot w:val="65455931"/>
    <w:rsid w:val="000159F3"/>
    <w:rsid w:val="000C4C25"/>
    <w:rsid w:val="00123685"/>
    <w:rsid w:val="001346C8"/>
    <w:rsid w:val="00241645"/>
    <w:rsid w:val="002B0746"/>
    <w:rsid w:val="00360323"/>
    <w:rsid w:val="003F40F6"/>
    <w:rsid w:val="00406215"/>
    <w:rsid w:val="004435F3"/>
    <w:rsid w:val="006B6B9A"/>
    <w:rsid w:val="007D42F6"/>
    <w:rsid w:val="00822FC2"/>
    <w:rsid w:val="009B6D6A"/>
    <w:rsid w:val="00D278AE"/>
    <w:rsid w:val="00D8496E"/>
    <w:rsid w:val="00E72044"/>
    <w:rsid w:val="00ED78B7"/>
    <w:rsid w:val="00FB56AA"/>
    <w:rsid w:val="014063B9"/>
    <w:rsid w:val="02795ABF"/>
    <w:rsid w:val="034D529D"/>
    <w:rsid w:val="03F71D21"/>
    <w:rsid w:val="04A628D7"/>
    <w:rsid w:val="04E452F2"/>
    <w:rsid w:val="057D1E38"/>
    <w:rsid w:val="060C7352"/>
    <w:rsid w:val="09903C9B"/>
    <w:rsid w:val="0A1B263A"/>
    <w:rsid w:val="0A7C6376"/>
    <w:rsid w:val="0BD0037E"/>
    <w:rsid w:val="0D5D5C42"/>
    <w:rsid w:val="11150BD7"/>
    <w:rsid w:val="111F4200"/>
    <w:rsid w:val="13B55464"/>
    <w:rsid w:val="153D4354"/>
    <w:rsid w:val="15CA6DCF"/>
    <w:rsid w:val="16F66259"/>
    <w:rsid w:val="184A6462"/>
    <w:rsid w:val="1888270D"/>
    <w:rsid w:val="1A3E355A"/>
    <w:rsid w:val="1C5D7C67"/>
    <w:rsid w:val="1C626920"/>
    <w:rsid w:val="1C885EDE"/>
    <w:rsid w:val="1D3C2ABE"/>
    <w:rsid w:val="1EA71E62"/>
    <w:rsid w:val="1FEE778E"/>
    <w:rsid w:val="20550CDD"/>
    <w:rsid w:val="21186CA9"/>
    <w:rsid w:val="22FB7F7F"/>
    <w:rsid w:val="26B93C7D"/>
    <w:rsid w:val="27032260"/>
    <w:rsid w:val="27133AE9"/>
    <w:rsid w:val="2C1856FE"/>
    <w:rsid w:val="322A246F"/>
    <w:rsid w:val="32647189"/>
    <w:rsid w:val="33371696"/>
    <w:rsid w:val="33BD09F7"/>
    <w:rsid w:val="33E9429E"/>
    <w:rsid w:val="358F6692"/>
    <w:rsid w:val="3B5A5CD0"/>
    <w:rsid w:val="3BA12DE9"/>
    <w:rsid w:val="3DBB2248"/>
    <w:rsid w:val="3E743EFA"/>
    <w:rsid w:val="3F584C01"/>
    <w:rsid w:val="411E6BE3"/>
    <w:rsid w:val="42064D6D"/>
    <w:rsid w:val="43114BF9"/>
    <w:rsid w:val="432B4701"/>
    <w:rsid w:val="463827CD"/>
    <w:rsid w:val="46BE0708"/>
    <w:rsid w:val="475C77BE"/>
    <w:rsid w:val="47DC3644"/>
    <w:rsid w:val="4B4C32F5"/>
    <w:rsid w:val="4E034240"/>
    <w:rsid w:val="4F7C7BCE"/>
    <w:rsid w:val="4F954E50"/>
    <w:rsid w:val="51A6172F"/>
    <w:rsid w:val="53CF7663"/>
    <w:rsid w:val="54447819"/>
    <w:rsid w:val="55CE6EC8"/>
    <w:rsid w:val="56272910"/>
    <w:rsid w:val="56346FCF"/>
    <w:rsid w:val="579E79C6"/>
    <w:rsid w:val="585A6533"/>
    <w:rsid w:val="59102FD6"/>
    <w:rsid w:val="59A968A9"/>
    <w:rsid w:val="5B4F1FDC"/>
    <w:rsid w:val="5CC76345"/>
    <w:rsid w:val="5EDF2A0E"/>
    <w:rsid w:val="6123673E"/>
    <w:rsid w:val="61316BE0"/>
    <w:rsid w:val="628663E8"/>
    <w:rsid w:val="62973E6A"/>
    <w:rsid w:val="62F42E12"/>
    <w:rsid w:val="6498477E"/>
    <w:rsid w:val="65455931"/>
    <w:rsid w:val="669D1CD3"/>
    <w:rsid w:val="670544F5"/>
    <w:rsid w:val="67310E46"/>
    <w:rsid w:val="67671676"/>
    <w:rsid w:val="67F11A89"/>
    <w:rsid w:val="6A163DDA"/>
    <w:rsid w:val="6DB52291"/>
    <w:rsid w:val="6F8A6442"/>
    <w:rsid w:val="6F910FBE"/>
    <w:rsid w:val="724D0AFE"/>
    <w:rsid w:val="738844E4"/>
    <w:rsid w:val="73A77042"/>
    <w:rsid w:val="74F74320"/>
    <w:rsid w:val="76D753A1"/>
    <w:rsid w:val="772071D6"/>
    <w:rsid w:val="774E2D32"/>
    <w:rsid w:val="7B42707C"/>
    <w:rsid w:val="7C9B515B"/>
    <w:rsid w:val="7DC92B32"/>
    <w:rsid w:val="7EF035BA"/>
    <w:rsid w:val="7EF41FF7"/>
    <w:rsid w:val="7F4A16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jc w:val="center"/>
      <w:outlineLvl w:val="0"/>
    </w:pPr>
    <w:rPr>
      <w:rFonts w:ascii="宋体" w:hAnsi="宋体" w:eastAsia="宋体"/>
      <w:b/>
      <w:sz w:val="28"/>
    </w:rPr>
  </w:style>
  <w:style w:type="paragraph" w:styleId="4">
    <w:name w:val="heading 2"/>
    <w:basedOn w:val="1"/>
    <w:next w:val="1"/>
    <w:qFormat/>
    <w:uiPriority w:val="0"/>
    <w:pPr>
      <w:keepNext/>
      <w:keepLines/>
      <w:snapToGrid w:val="0"/>
      <w:spacing w:before="20" w:after="20"/>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2">
    <w:name w:val="Default Paragraph Font"/>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rFonts w:ascii="宋体" w:hAnsi="宋体" w:cs="宋体"/>
      <w:kern w:val="0"/>
      <w:sz w:val="24"/>
    </w:rPr>
  </w:style>
  <w:style w:type="paragraph" w:styleId="6">
    <w:name w:val="annotation text"/>
    <w:basedOn w:val="1"/>
    <w:link w:val="33"/>
    <w:qFormat/>
    <w:uiPriority w:val="0"/>
    <w:pPr>
      <w:jc w:val="left"/>
    </w:pPr>
  </w:style>
  <w:style w:type="paragraph" w:styleId="7">
    <w:name w:val="Body Text"/>
    <w:basedOn w:val="1"/>
    <w:next w:val="1"/>
    <w:qFormat/>
    <w:uiPriority w:val="0"/>
    <w:pPr>
      <w:spacing w:after="120"/>
    </w:pPr>
  </w:style>
  <w:style w:type="paragraph" w:styleId="8">
    <w:name w:val="Body Text Indent"/>
    <w:basedOn w:val="1"/>
    <w:next w:val="9"/>
    <w:qFormat/>
    <w:uiPriority w:val="0"/>
    <w:pPr>
      <w:autoSpaceDE w:val="0"/>
      <w:autoSpaceDN w:val="0"/>
      <w:adjustRightInd w:val="0"/>
      <w:spacing w:line="360" w:lineRule="auto"/>
      <w:ind w:firstLine="480"/>
      <w:jc w:val="left"/>
    </w:pPr>
    <w:rPr>
      <w:rFonts w:ascii="宋体" w:hAnsi="宋体"/>
      <w:kern w:val="0"/>
      <w:sz w:val="24"/>
    </w:rPr>
  </w:style>
  <w:style w:type="paragraph" w:styleId="9">
    <w:name w:val="envelope return"/>
    <w:basedOn w:val="1"/>
    <w:qFormat/>
    <w:uiPriority w:val="0"/>
    <w:pPr>
      <w:snapToGrid w:val="0"/>
    </w:pPr>
    <w:rPr>
      <w:rFonts w:ascii="Arial" w:hAnsi="Arial"/>
    </w:rPr>
  </w:style>
  <w:style w:type="paragraph" w:styleId="10">
    <w:name w:val="Date"/>
    <w:basedOn w:val="1"/>
    <w:next w:val="1"/>
    <w:qFormat/>
    <w:uiPriority w:val="0"/>
    <w:rPr>
      <w:sz w:val="2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6">
    <w:name w:val="Normal (Web)"/>
    <w:basedOn w:val="1"/>
    <w:qFormat/>
    <w:uiPriority w:val="0"/>
    <w:pPr>
      <w:spacing w:beforeAutospacing="1" w:afterAutospacing="1"/>
      <w:jc w:val="left"/>
    </w:pPr>
    <w:rPr>
      <w:rFonts w:cs="Times New Roman"/>
      <w:kern w:val="0"/>
      <w:sz w:val="24"/>
    </w:rPr>
  </w:style>
  <w:style w:type="paragraph" w:styleId="17">
    <w:name w:val="annotation subject"/>
    <w:basedOn w:val="6"/>
    <w:next w:val="6"/>
    <w:link w:val="34"/>
    <w:qFormat/>
    <w:uiPriority w:val="0"/>
    <w:rPr>
      <w:b/>
      <w:bCs/>
    </w:rPr>
  </w:style>
  <w:style w:type="paragraph" w:styleId="18">
    <w:name w:val="Body Text First Indent"/>
    <w:basedOn w:val="7"/>
    <w:qFormat/>
    <w:uiPriority w:val="0"/>
    <w:pPr>
      <w:ind w:firstLine="420" w:firstLineChars="100"/>
    </w:pPr>
  </w:style>
  <w:style w:type="paragraph" w:styleId="19">
    <w:name w:val="Body Text First Indent 2"/>
    <w:basedOn w:val="8"/>
    <w:qFormat/>
    <w:uiPriority w:val="0"/>
    <w:pPr>
      <w:ind w:firstLine="420" w:firstLineChars="2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page number"/>
    <w:basedOn w:val="22"/>
    <w:qFormat/>
    <w:uiPriority w:val="0"/>
  </w:style>
  <w:style w:type="character" w:styleId="25">
    <w:name w:val="annotation reference"/>
    <w:basedOn w:val="22"/>
    <w:qFormat/>
    <w:uiPriority w:val="0"/>
    <w:rPr>
      <w:sz w:val="21"/>
      <w:szCs w:val="21"/>
    </w:rPr>
  </w:style>
  <w:style w:type="paragraph" w:customStyle="1" w:styleId="26">
    <w:name w:val="正文1"/>
    <w:basedOn w:val="18"/>
    <w:qFormat/>
    <w:uiPriority w:val="0"/>
    <w:pPr>
      <w:tabs>
        <w:tab w:val="left" w:pos="2160"/>
      </w:tabs>
      <w:topLinePunct/>
      <w:spacing w:line="400" w:lineRule="exact"/>
    </w:pPr>
    <w:rPr>
      <w:rFonts w:cs="Times New Roman"/>
      <w:color w:val="EE0000"/>
    </w:rPr>
  </w:style>
  <w:style w:type="paragraph" w:customStyle="1" w:styleId="27">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8">
    <w:name w:val="列表段落1"/>
    <w:basedOn w:val="1"/>
    <w:qFormat/>
    <w:uiPriority w:val="34"/>
    <w:pPr>
      <w:ind w:firstLine="420" w:firstLineChars="200"/>
    </w:pPr>
  </w:style>
  <w:style w:type="paragraph" w:customStyle="1" w:styleId="29">
    <w:name w:val="列出段落1"/>
    <w:basedOn w:val="1"/>
    <w:qFormat/>
    <w:uiPriority w:val="34"/>
    <w:pPr>
      <w:ind w:firstLine="420" w:firstLineChars="200"/>
    </w:pPr>
  </w:style>
  <w:style w:type="paragraph" w:customStyle="1" w:styleId="30">
    <w:name w:val="WPSOffice手动目录 1"/>
    <w:qFormat/>
    <w:uiPriority w:val="0"/>
    <w:rPr>
      <w:rFonts w:ascii="Times New Roman" w:hAnsi="Times New Roman" w:eastAsia="宋体" w:cs="Times New Roman"/>
      <w:lang w:val="en-US" w:eastAsia="zh-CN" w:bidi="ar-SA"/>
    </w:rPr>
  </w:style>
  <w:style w:type="paragraph" w:customStyle="1" w:styleId="3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2">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33">
    <w:name w:val="批注文字 字符"/>
    <w:basedOn w:val="22"/>
    <w:link w:val="6"/>
    <w:qFormat/>
    <w:uiPriority w:val="0"/>
    <w:rPr>
      <w:rFonts w:asciiTheme="minorHAnsi" w:hAnsiTheme="minorHAnsi" w:eastAsiaTheme="minorEastAsia" w:cstheme="minorBidi"/>
      <w:kern w:val="2"/>
      <w:sz w:val="21"/>
      <w:szCs w:val="24"/>
    </w:rPr>
  </w:style>
  <w:style w:type="character" w:customStyle="1" w:styleId="34">
    <w:name w:val="批注主题 字符"/>
    <w:basedOn w:val="33"/>
    <w:link w:val="17"/>
    <w:qFormat/>
    <w:uiPriority w:val="0"/>
    <w:rPr>
      <w:rFonts w:asciiTheme="minorHAnsi" w:hAnsiTheme="minorHAnsi" w:eastAsiaTheme="minorEastAsia" w:cstheme="minorBidi"/>
      <w:b/>
      <w:bCs/>
      <w:kern w:val="2"/>
      <w:sz w:val="21"/>
      <w:szCs w:val="24"/>
    </w:rPr>
  </w:style>
  <w:style w:type="paragraph" w:styleId="3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85</Pages>
  <Words>2124</Words>
  <Characters>2349</Characters>
  <Lines>1494</Lines>
  <Paragraphs>1302</Paragraphs>
  <TotalTime>2</TotalTime>
  <ScaleCrop>false</ScaleCrop>
  <LinksUpToDate>false</LinksUpToDate>
  <CharactersWithSpaces>2550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2022-06-18T08:10:00Z</dcterms:created>
  <dc:creator>远方.</dc:creator>
  <cp:lastModifiedBy>Administrator</cp:lastModifiedBy>
  <dcterms:modified xsi:type="dcterms:W3CDTF">2026-08-19T07:19:12Z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D6E3065365644CB59A79579A30775E0E_13</vt:lpwstr>
  </property>
  <property fmtid="{D5CDD505-2E9C-101B-9397-08002B2CF9AE}" pid="4" name="KSOTemplateDocerSaveRecord">
    <vt:lpwstr>eyJoZGlkIjoiYjg5OTg4YmEyYzAzMzQzY2MyYzViZWY5ZTUxYzVmNTkiLCJ1c2VySWQiOiIxMjA1OTg1NDc1In0=</vt:lpwstr>
  </property>
</Properties>
</file>